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D713C" w14:textId="77777777" w:rsidR="00406482" w:rsidRPr="00262CFC" w:rsidRDefault="00406482">
      <w:pPr>
        <w:rPr>
          <w:b/>
        </w:rPr>
      </w:pPr>
      <w:r w:rsidRPr="00262CFC">
        <w:rPr>
          <w:b/>
        </w:rPr>
        <w:t>COMBATTING LEARNED HELPLESSNESS TOOL</w:t>
      </w:r>
    </w:p>
    <w:p w14:paraId="669DC70A" w14:textId="77777777" w:rsidR="00406482" w:rsidRDefault="00406482"/>
    <w:p w14:paraId="4DE9A5F8" w14:textId="77777777" w:rsidR="00262CFC" w:rsidRPr="00691768" w:rsidRDefault="00262CFC" w:rsidP="00262CFC">
      <w:pPr>
        <w:spacing w:line="480" w:lineRule="auto"/>
        <w:rPr>
          <w:b/>
          <w:u w:val="single"/>
        </w:rPr>
      </w:pPr>
      <w:r w:rsidRPr="00691768">
        <w:rPr>
          <w:b/>
          <w:u w:val="single"/>
        </w:rPr>
        <w:t>Encourage Engagement and Accountability</w:t>
      </w:r>
    </w:p>
    <w:tbl>
      <w:tblPr>
        <w:tblStyle w:val="TableGrid"/>
        <w:tblW w:w="0" w:type="auto"/>
        <w:tblLook w:val="04A0" w:firstRow="1" w:lastRow="0" w:firstColumn="1" w:lastColumn="0" w:noHBand="0" w:noVBand="1"/>
      </w:tblPr>
      <w:tblGrid>
        <w:gridCol w:w="2997"/>
        <w:gridCol w:w="2956"/>
        <w:gridCol w:w="2903"/>
      </w:tblGrid>
      <w:tr w:rsidR="00262CFC" w14:paraId="657117DC" w14:textId="77777777" w:rsidTr="00262CFC">
        <w:tc>
          <w:tcPr>
            <w:tcW w:w="3192" w:type="dxa"/>
          </w:tcPr>
          <w:p w14:paraId="1791050C" w14:textId="77777777" w:rsidR="00262CFC" w:rsidRPr="003E5CD6" w:rsidRDefault="00262CFC" w:rsidP="00262CFC">
            <w:pPr>
              <w:rPr>
                <w:b/>
              </w:rPr>
            </w:pPr>
            <w:r w:rsidRPr="003E5CD6">
              <w:rPr>
                <w:b/>
              </w:rPr>
              <w:t>1. HOLD STUDENTS ACCOUNTABLE.</w:t>
            </w:r>
          </w:p>
        </w:tc>
        <w:tc>
          <w:tcPr>
            <w:tcW w:w="3192" w:type="dxa"/>
          </w:tcPr>
          <w:p w14:paraId="317B4AB1" w14:textId="77777777" w:rsidR="00262CFC" w:rsidRDefault="00262CFC" w:rsidP="00262CFC"/>
        </w:tc>
        <w:tc>
          <w:tcPr>
            <w:tcW w:w="3192" w:type="dxa"/>
          </w:tcPr>
          <w:p w14:paraId="61ED3E04" w14:textId="77777777" w:rsidR="00262CFC" w:rsidRDefault="00262CFC" w:rsidP="00262CFC"/>
        </w:tc>
      </w:tr>
      <w:tr w:rsidR="00262CFC" w14:paraId="1CFA7545" w14:textId="77777777" w:rsidTr="00262CFC">
        <w:tc>
          <w:tcPr>
            <w:tcW w:w="3192" w:type="dxa"/>
          </w:tcPr>
          <w:p w14:paraId="3EAD4F27" w14:textId="77777777" w:rsidR="00262CFC" w:rsidRDefault="00262CFC" w:rsidP="00262CFC">
            <w:r w:rsidRPr="00B34A1E">
              <w:rPr>
                <w:b/>
              </w:rPr>
              <w:t>IF…</w:t>
            </w:r>
            <w:r>
              <w:t>You assign classwork and go over it before holding students accountable for having completed it,</w:t>
            </w:r>
          </w:p>
        </w:tc>
        <w:tc>
          <w:tcPr>
            <w:tcW w:w="3192" w:type="dxa"/>
          </w:tcPr>
          <w:p w14:paraId="19C26B27" w14:textId="77777777" w:rsidR="00262CFC" w:rsidRDefault="00262CFC" w:rsidP="00262CFC">
            <w:r w:rsidRPr="00265277">
              <w:rPr>
                <w:b/>
              </w:rPr>
              <w:t>THEN…</w:t>
            </w:r>
            <w:r>
              <w:t>students realize they can wait till the timer rings, then copy the answers as you go over them.  So they don’t even try to do the work.  They will sit quietly or chat with a neighbor, which is more fun.</w:t>
            </w:r>
          </w:p>
          <w:p w14:paraId="529584CB" w14:textId="77777777" w:rsidR="00262CFC" w:rsidRDefault="00262CFC" w:rsidP="00262CFC"/>
        </w:tc>
        <w:tc>
          <w:tcPr>
            <w:tcW w:w="3192" w:type="dxa"/>
          </w:tcPr>
          <w:p w14:paraId="4D14407A" w14:textId="77777777" w:rsidR="00262CFC" w:rsidRDefault="00262CFC" w:rsidP="00262CFC">
            <w:r>
              <w:rPr>
                <w:b/>
              </w:rPr>
              <w:t>SO,</w:t>
            </w:r>
            <w:r w:rsidRPr="00CC6888">
              <w:rPr>
                <w:b/>
              </w:rPr>
              <w:t xml:space="preserve"> INSTEAD:</w:t>
            </w:r>
            <w:r>
              <w:rPr>
                <w:b/>
              </w:rPr>
              <w:t xml:space="preserve"> </w:t>
            </w:r>
            <w:r>
              <w:t>Either circulate and assign credit (with a stamp or initial) as students work, collect it before reviewing, or provide and give credit for “notes from discussion” that students must complete in addition.</w:t>
            </w:r>
          </w:p>
        </w:tc>
      </w:tr>
      <w:tr w:rsidR="00262CFC" w14:paraId="52137843" w14:textId="77777777" w:rsidTr="00262CFC">
        <w:tc>
          <w:tcPr>
            <w:tcW w:w="3192" w:type="dxa"/>
          </w:tcPr>
          <w:p w14:paraId="4F718F96" w14:textId="77777777" w:rsidR="00262CFC" w:rsidRPr="003E5CD6" w:rsidRDefault="00262CFC" w:rsidP="00262CFC">
            <w:pPr>
              <w:rPr>
                <w:b/>
              </w:rPr>
            </w:pPr>
            <w:r w:rsidRPr="003E5CD6">
              <w:rPr>
                <w:b/>
              </w:rPr>
              <w:t>2. MAKE THE PITCH.</w:t>
            </w:r>
          </w:p>
        </w:tc>
        <w:tc>
          <w:tcPr>
            <w:tcW w:w="3192" w:type="dxa"/>
          </w:tcPr>
          <w:p w14:paraId="529E5E2F" w14:textId="77777777" w:rsidR="00262CFC" w:rsidRDefault="00262CFC" w:rsidP="00262CFC"/>
        </w:tc>
        <w:tc>
          <w:tcPr>
            <w:tcW w:w="3192" w:type="dxa"/>
          </w:tcPr>
          <w:p w14:paraId="2090121C" w14:textId="77777777" w:rsidR="00262CFC" w:rsidRDefault="00262CFC" w:rsidP="00262CFC"/>
        </w:tc>
      </w:tr>
      <w:tr w:rsidR="00262CFC" w14:paraId="2E1C47ED" w14:textId="77777777" w:rsidTr="00262CFC">
        <w:tc>
          <w:tcPr>
            <w:tcW w:w="3192" w:type="dxa"/>
          </w:tcPr>
          <w:p w14:paraId="4FF9961A" w14:textId="77777777" w:rsidR="00262CFC" w:rsidRDefault="00262CFC" w:rsidP="00262CFC">
            <w:r w:rsidRPr="00B34A1E">
              <w:rPr>
                <w:b/>
              </w:rPr>
              <w:t>IF…</w:t>
            </w:r>
            <w:r>
              <w:t>You fail to make a pitch for the lesson’s objective,</w:t>
            </w:r>
          </w:p>
        </w:tc>
        <w:tc>
          <w:tcPr>
            <w:tcW w:w="3192" w:type="dxa"/>
          </w:tcPr>
          <w:p w14:paraId="350055A3" w14:textId="77777777" w:rsidR="00262CFC" w:rsidRDefault="00262CFC" w:rsidP="00262CFC">
            <w:r w:rsidRPr="00265277">
              <w:rPr>
                <w:b/>
              </w:rPr>
              <w:t>THEN…</w:t>
            </w:r>
            <w:r>
              <w:t xml:space="preserve">students will wonder, </w:t>
            </w:r>
            <w:r w:rsidRPr="00801D4B">
              <w:rPr>
                <w:i/>
              </w:rPr>
              <w:t xml:space="preserve">Why are we doing this?  </w:t>
            </w:r>
            <w:r>
              <w:t>Being told WHAT they are doing (i.e., the agenda) is not enough.  Without knowing the purpose for the lesson, students feel like hostages, and while they might comply with your demands, they are less likely to feel motivated or personally invested in the work.</w:t>
            </w:r>
          </w:p>
        </w:tc>
        <w:tc>
          <w:tcPr>
            <w:tcW w:w="3192" w:type="dxa"/>
          </w:tcPr>
          <w:p w14:paraId="68E22129" w14:textId="77777777" w:rsidR="00262CFC" w:rsidRDefault="00262CFC" w:rsidP="00262CFC">
            <w:pPr>
              <w:rPr>
                <w:i/>
              </w:rPr>
            </w:pPr>
            <w:r>
              <w:rPr>
                <w:b/>
              </w:rPr>
              <w:t>SO,</w:t>
            </w:r>
            <w:r w:rsidRPr="00CC6888">
              <w:rPr>
                <w:b/>
              </w:rPr>
              <w:t xml:space="preserve"> INSTEAD:</w:t>
            </w:r>
            <w:r>
              <w:rPr>
                <w:b/>
              </w:rPr>
              <w:t xml:space="preserve"> </w:t>
            </w:r>
            <w:r>
              <w:t>Share the objective (which is ideally “RPM”—rigorous, purposeful, and measurable</w:t>
            </w:r>
            <w:r>
              <w:rPr>
                <w:rStyle w:val="FootnoteReference"/>
              </w:rPr>
              <w:footnoteReference w:id="1"/>
            </w:r>
            <w:r>
              <w:t>) and make a pitch that explains what’s in it for them.  And remind them of that purpose throughout the lesson (</w:t>
            </w:r>
            <w:r w:rsidRPr="00801D4B">
              <w:rPr>
                <w:i/>
              </w:rPr>
              <w:t>“Let’s not forget WHY we’re looking for the most relevant evidence: so we can wow readers an</w:t>
            </w:r>
            <w:r>
              <w:rPr>
                <w:i/>
              </w:rPr>
              <w:t>d convince them of our argument</w:t>
            </w:r>
            <w:r w:rsidRPr="00801D4B">
              <w:rPr>
                <w:i/>
              </w:rPr>
              <w:t>”)</w:t>
            </w:r>
            <w:r>
              <w:rPr>
                <w:i/>
              </w:rPr>
              <w:t>.</w:t>
            </w:r>
          </w:p>
          <w:p w14:paraId="461EFEA8" w14:textId="77777777" w:rsidR="00262CFC" w:rsidRDefault="00262CFC" w:rsidP="00262CFC"/>
        </w:tc>
      </w:tr>
      <w:tr w:rsidR="00262CFC" w14:paraId="66454367" w14:textId="77777777" w:rsidTr="00262CFC">
        <w:tc>
          <w:tcPr>
            <w:tcW w:w="3192" w:type="dxa"/>
          </w:tcPr>
          <w:p w14:paraId="0E002139" w14:textId="77777777" w:rsidR="00262CFC" w:rsidRPr="00A1245E" w:rsidRDefault="00262CFC" w:rsidP="00262CFC">
            <w:pPr>
              <w:rPr>
                <w:rFonts w:eastAsia="MS Mincho"/>
                <w:b/>
                <w:color w:val="1A1A1A"/>
                <w:lang w:eastAsia="ja-JP"/>
              </w:rPr>
            </w:pPr>
            <w:r w:rsidRPr="00A1245E">
              <w:rPr>
                <w:rFonts w:eastAsia="MS Mincho"/>
                <w:b/>
                <w:color w:val="1A1A1A"/>
                <w:lang w:eastAsia="ja-JP"/>
              </w:rPr>
              <w:t>3. TEACH REVISION STRATEGIES.</w:t>
            </w:r>
          </w:p>
        </w:tc>
        <w:tc>
          <w:tcPr>
            <w:tcW w:w="3192" w:type="dxa"/>
          </w:tcPr>
          <w:p w14:paraId="36073E2E" w14:textId="77777777" w:rsidR="00262CFC" w:rsidRDefault="00262CFC" w:rsidP="00262CFC">
            <w:pPr>
              <w:rPr>
                <w:rFonts w:eastAsia="MS Mincho"/>
                <w:color w:val="1A1A1A"/>
                <w:lang w:eastAsia="ja-JP"/>
              </w:rPr>
            </w:pPr>
          </w:p>
        </w:tc>
        <w:tc>
          <w:tcPr>
            <w:tcW w:w="3192" w:type="dxa"/>
          </w:tcPr>
          <w:p w14:paraId="4EE94693" w14:textId="77777777" w:rsidR="00262CFC" w:rsidRPr="005310C9" w:rsidRDefault="00262CFC" w:rsidP="00262CFC">
            <w:pPr>
              <w:pStyle w:val="CommentText"/>
              <w:rPr>
                <w:rFonts w:eastAsia="MS Mincho"/>
                <w:color w:val="1A1A1A"/>
                <w:lang w:eastAsia="ja-JP"/>
              </w:rPr>
            </w:pPr>
          </w:p>
        </w:tc>
      </w:tr>
      <w:tr w:rsidR="00262CFC" w14:paraId="5CBE8E2F" w14:textId="77777777" w:rsidTr="00262CFC">
        <w:tc>
          <w:tcPr>
            <w:tcW w:w="3192" w:type="dxa"/>
          </w:tcPr>
          <w:p w14:paraId="0A37A3A2" w14:textId="77777777" w:rsidR="00262CFC" w:rsidRDefault="00262CFC" w:rsidP="00262CFC">
            <w:r w:rsidRPr="00B34A1E">
              <w:rPr>
                <w:b/>
              </w:rPr>
              <w:t>IF…</w:t>
            </w:r>
            <w:r>
              <w:rPr>
                <w:rFonts w:eastAsia="MS Mincho"/>
                <w:color w:val="1A1A1A"/>
                <w:lang w:eastAsia="ja-JP"/>
              </w:rPr>
              <w:t>You provide written feedback to students with many details about grammar, diction, organization, etc., in isolation,</w:t>
            </w:r>
          </w:p>
        </w:tc>
        <w:tc>
          <w:tcPr>
            <w:tcW w:w="3192" w:type="dxa"/>
          </w:tcPr>
          <w:p w14:paraId="138D2FD5" w14:textId="77777777" w:rsidR="00262CFC" w:rsidRDefault="00262CFC" w:rsidP="00262CFC">
            <w:r w:rsidRPr="00265277">
              <w:rPr>
                <w:b/>
              </w:rPr>
              <w:t>THEN…</w:t>
            </w:r>
            <w:r>
              <w:rPr>
                <w:rFonts w:eastAsia="MS Mincho"/>
                <w:color w:val="1A1A1A"/>
                <w:lang w:eastAsia="ja-JP"/>
              </w:rPr>
              <w:t>students learn to depend on others to revise their work and can’t recognize their own mistakes.</w:t>
            </w:r>
          </w:p>
        </w:tc>
        <w:tc>
          <w:tcPr>
            <w:tcW w:w="3192" w:type="dxa"/>
          </w:tcPr>
          <w:p w14:paraId="2A70B7C7" w14:textId="77777777" w:rsidR="00262CFC" w:rsidRPr="005310C9" w:rsidRDefault="00262CFC" w:rsidP="00262CFC">
            <w:pPr>
              <w:pStyle w:val="CommentText"/>
              <w:rPr>
                <w:rFonts w:eastAsia="MS Mincho"/>
                <w:color w:val="1A1A1A"/>
                <w:lang w:eastAsia="ja-JP"/>
              </w:rPr>
            </w:pPr>
            <w:r>
              <w:rPr>
                <w:b/>
              </w:rPr>
              <w:t>SO,</w:t>
            </w:r>
            <w:r w:rsidRPr="00CC6888">
              <w:rPr>
                <w:b/>
              </w:rPr>
              <w:t xml:space="preserve"> INSTEAD:</w:t>
            </w:r>
            <w:r>
              <w:rPr>
                <w:b/>
              </w:rPr>
              <w:t xml:space="preserve"> </w:t>
            </w:r>
            <w:r w:rsidRPr="005310C9">
              <w:rPr>
                <w:rFonts w:eastAsia="MS Mincho"/>
                <w:color w:val="1A1A1A"/>
                <w:lang w:eastAsia="ja-JP"/>
              </w:rPr>
              <w:t>Teach revision strategies (i.e., outlining their own essays to ensure coherence, classifying fragments and complete sentences, fixing run-on sentences, checking for consistent verb tense, etc.) and build time for students to revise work—</w:t>
            </w:r>
            <w:r w:rsidRPr="005310C9">
              <w:rPr>
                <w:rFonts w:eastAsia="MS Mincho"/>
                <w:color w:val="1A1A1A"/>
                <w:lang w:eastAsia="ja-JP"/>
              </w:rPr>
              <w:lastRenderedPageBreak/>
              <w:t>with your feedback on revisions.</w:t>
            </w:r>
          </w:p>
          <w:p w14:paraId="41470604" w14:textId="77777777" w:rsidR="00262CFC" w:rsidRDefault="00262CFC" w:rsidP="00262CFC"/>
        </w:tc>
      </w:tr>
      <w:tr w:rsidR="00262CFC" w14:paraId="4784A2D6" w14:textId="77777777" w:rsidTr="00262CFC">
        <w:tc>
          <w:tcPr>
            <w:tcW w:w="3192" w:type="dxa"/>
          </w:tcPr>
          <w:p w14:paraId="15618CE6" w14:textId="77777777" w:rsidR="00262CFC" w:rsidRPr="00A1245E" w:rsidRDefault="00262CFC" w:rsidP="00262CFC">
            <w:pPr>
              <w:rPr>
                <w:rFonts w:eastAsia="MS Mincho"/>
                <w:b/>
                <w:color w:val="1A1A1A"/>
                <w:lang w:eastAsia="ja-JP"/>
              </w:rPr>
            </w:pPr>
            <w:r>
              <w:rPr>
                <w:rFonts w:eastAsia="MS Mincho"/>
                <w:b/>
                <w:color w:val="1A1A1A"/>
                <w:lang w:eastAsia="ja-JP"/>
              </w:rPr>
              <w:lastRenderedPageBreak/>
              <w:t xml:space="preserve">4. USE TURN AND </w:t>
            </w:r>
            <w:r w:rsidRPr="00A1245E">
              <w:rPr>
                <w:rFonts w:eastAsia="MS Mincho"/>
                <w:b/>
                <w:color w:val="1A1A1A"/>
                <w:lang w:eastAsia="ja-JP"/>
              </w:rPr>
              <w:t>TALK</w:t>
            </w:r>
            <w:r>
              <w:rPr>
                <w:rStyle w:val="FootnoteReference"/>
                <w:rFonts w:eastAsia="MS Mincho"/>
                <w:b/>
                <w:color w:val="1A1A1A"/>
                <w:lang w:eastAsia="ja-JP"/>
              </w:rPr>
              <w:footnoteReference w:id="2"/>
            </w:r>
            <w:r w:rsidRPr="00A1245E">
              <w:rPr>
                <w:rFonts w:eastAsia="MS Mincho"/>
                <w:b/>
                <w:color w:val="1A1A1A"/>
                <w:lang w:eastAsia="ja-JP"/>
              </w:rPr>
              <w:t xml:space="preserve"> AND COLD-CALLING.</w:t>
            </w:r>
            <w:r>
              <w:rPr>
                <w:rStyle w:val="FootnoteReference"/>
                <w:rFonts w:eastAsia="MS Mincho"/>
                <w:b/>
                <w:color w:val="1A1A1A"/>
                <w:lang w:eastAsia="ja-JP"/>
              </w:rPr>
              <w:footnoteReference w:id="3"/>
            </w:r>
          </w:p>
        </w:tc>
        <w:tc>
          <w:tcPr>
            <w:tcW w:w="3192" w:type="dxa"/>
          </w:tcPr>
          <w:p w14:paraId="5A6715A4" w14:textId="77777777" w:rsidR="00262CFC" w:rsidRPr="00E707DB" w:rsidRDefault="00262CFC" w:rsidP="00262CFC">
            <w:pPr>
              <w:rPr>
                <w:rFonts w:eastAsia="MS Mincho"/>
                <w:color w:val="1A1A1A"/>
                <w:lang w:eastAsia="ja-JP"/>
              </w:rPr>
            </w:pPr>
          </w:p>
        </w:tc>
        <w:tc>
          <w:tcPr>
            <w:tcW w:w="3192" w:type="dxa"/>
          </w:tcPr>
          <w:p w14:paraId="3FB6165C" w14:textId="77777777" w:rsidR="00262CFC" w:rsidRPr="005310C9" w:rsidRDefault="00262CFC" w:rsidP="00262CFC">
            <w:pPr>
              <w:pStyle w:val="CommentText"/>
              <w:rPr>
                <w:rFonts w:eastAsia="MS Mincho"/>
                <w:color w:val="1A1A1A"/>
                <w:lang w:eastAsia="ja-JP"/>
              </w:rPr>
            </w:pPr>
          </w:p>
        </w:tc>
      </w:tr>
      <w:tr w:rsidR="00262CFC" w14:paraId="2F4FFB1C" w14:textId="77777777" w:rsidTr="00262CFC">
        <w:tc>
          <w:tcPr>
            <w:tcW w:w="3192" w:type="dxa"/>
          </w:tcPr>
          <w:p w14:paraId="4667B64C" w14:textId="77777777" w:rsidR="00262CFC" w:rsidRDefault="00262CFC" w:rsidP="00262CFC">
            <w:r w:rsidRPr="00B34A1E">
              <w:rPr>
                <w:b/>
              </w:rPr>
              <w:t>IF…</w:t>
            </w:r>
            <w:r w:rsidRPr="00E707DB">
              <w:rPr>
                <w:rFonts w:eastAsia="MS Mincho"/>
                <w:color w:val="1A1A1A"/>
                <w:lang w:eastAsia="ja-JP"/>
              </w:rPr>
              <w:t xml:space="preserve">You rarely use turn-and-talk and cold-calling, </w:t>
            </w:r>
          </w:p>
        </w:tc>
        <w:tc>
          <w:tcPr>
            <w:tcW w:w="3192" w:type="dxa"/>
          </w:tcPr>
          <w:p w14:paraId="13C95130" w14:textId="77777777" w:rsidR="00262CFC" w:rsidRPr="00E707DB" w:rsidRDefault="00262CFC" w:rsidP="00262CFC">
            <w:pPr>
              <w:rPr>
                <w:rFonts w:eastAsia="MS Mincho"/>
                <w:color w:val="1A1A1A"/>
                <w:lang w:eastAsia="ja-JP"/>
              </w:rPr>
            </w:pPr>
            <w:r w:rsidRPr="00265277">
              <w:rPr>
                <w:b/>
              </w:rPr>
              <w:t>THEN…</w:t>
            </w:r>
            <w:r w:rsidRPr="00E707DB">
              <w:rPr>
                <w:rFonts w:eastAsia="MS Mincho"/>
                <w:color w:val="1A1A1A"/>
                <w:lang w:eastAsia="ja-JP"/>
              </w:rPr>
              <w:t>students recognize that only peers who raise their hands will get called on, so they can sit back and wait for others to do the work.</w:t>
            </w:r>
            <w:r>
              <w:rPr>
                <w:rFonts w:eastAsia="MS Mincho"/>
                <w:color w:val="1A1A1A"/>
                <w:lang w:eastAsia="ja-JP"/>
              </w:rPr>
              <w:t xml:space="preserve">  Also, students who might want to speak can become intimidated by those who tend to dominate the conversation.</w:t>
            </w:r>
          </w:p>
          <w:p w14:paraId="2D3C4E2B" w14:textId="77777777" w:rsidR="00262CFC" w:rsidRDefault="00262CFC" w:rsidP="00262CFC"/>
        </w:tc>
        <w:tc>
          <w:tcPr>
            <w:tcW w:w="3192" w:type="dxa"/>
          </w:tcPr>
          <w:p w14:paraId="7D8F9624" w14:textId="77777777" w:rsidR="00262CFC" w:rsidRPr="005310C9" w:rsidRDefault="00262CFC" w:rsidP="00262CFC">
            <w:pPr>
              <w:pStyle w:val="CommentText"/>
            </w:pPr>
            <w:r>
              <w:rPr>
                <w:b/>
              </w:rPr>
              <w:t>SO,</w:t>
            </w:r>
            <w:r w:rsidRPr="00CC6888">
              <w:rPr>
                <w:b/>
              </w:rPr>
              <w:t xml:space="preserve"> INSTEAD:</w:t>
            </w:r>
            <w:r>
              <w:rPr>
                <w:b/>
              </w:rPr>
              <w:t xml:space="preserve"> </w:t>
            </w:r>
            <w:r w:rsidRPr="005310C9">
              <w:rPr>
                <w:rFonts w:eastAsia="MS Mincho"/>
                <w:color w:val="1A1A1A"/>
                <w:lang w:eastAsia="ja-JP"/>
              </w:rPr>
              <w:t>Use purposeful turn-</w:t>
            </w:r>
            <w:r>
              <w:rPr>
                <w:rFonts w:eastAsia="MS Mincho"/>
                <w:color w:val="1A1A1A"/>
                <w:lang w:eastAsia="ja-JP"/>
              </w:rPr>
              <w:t>and-talk (and have students jot notes</w:t>
            </w:r>
            <w:r w:rsidRPr="005310C9">
              <w:rPr>
                <w:rFonts w:eastAsia="MS Mincho"/>
                <w:color w:val="1A1A1A"/>
                <w:lang w:eastAsia="ja-JP"/>
              </w:rPr>
              <w:t xml:space="preserve">) with cold-calling to increase engagement and accountability for performance.  </w:t>
            </w:r>
            <w:r w:rsidRPr="005310C9">
              <w:t>Find a way to randomize cold-calling (i.e., use note cards with student names that you shuffle through), and other times, plan your cold-call (choose a few who are typically middle-of-the-road in understanding, one high, and one struggling student).</w:t>
            </w:r>
          </w:p>
          <w:p w14:paraId="087FF112" w14:textId="77777777" w:rsidR="00262CFC" w:rsidRDefault="00262CFC" w:rsidP="00262CFC"/>
        </w:tc>
      </w:tr>
      <w:tr w:rsidR="00262CFC" w14:paraId="79BB2CD0" w14:textId="77777777" w:rsidTr="00262CFC">
        <w:tc>
          <w:tcPr>
            <w:tcW w:w="3192" w:type="dxa"/>
          </w:tcPr>
          <w:p w14:paraId="2A612429" w14:textId="77777777" w:rsidR="00262CFC" w:rsidRPr="00A1245E" w:rsidRDefault="00262CFC" w:rsidP="00262CFC">
            <w:pPr>
              <w:rPr>
                <w:rFonts w:eastAsia="MS Mincho"/>
                <w:b/>
                <w:color w:val="1A1A1A"/>
                <w:lang w:eastAsia="ja-JP"/>
              </w:rPr>
            </w:pPr>
            <w:r w:rsidRPr="00A1245E">
              <w:rPr>
                <w:rFonts w:eastAsia="MS Mincho"/>
                <w:b/>
                <w:color w:val="1A1A1A"/>
                <w:lang w:eastAsia="ja-JP"/>
              </w:rPr>
              <w:t>5. TREAT STUDENTS LIKE DETECTIVES.</w:t>
            </w:r>
          </w:p>
        </w:tc>
        <w:tc>
          <w:tcPr>
            <w:tcW w:w="3192" w:type="dxa"/>
          </w:tcPr>
          <w:p w14:paraId="6BB4FB34" w14:textId="77777777" w:rsidR="00262CFC" w:rsidRDefault="00262CFC" w:rsidP="00262CFC">
            <w:pPr>
              <w:rPr>
                <w:rFonts w:eastAsia="MS Mincho"/>
                <w:color w:val="1A1A1A"/>
                <w:lang w:eastAsia="ja-JP"/>
              </w:rPr>
            </w:pPr>
          </w:p>
        </w:tc>
        <w:tc>
          <w:tcPr>
            <w:tcW w:w="3192" w:type="dxa"/>
          </w:tcPr>
          <w:p w14:paraId="1915F094" w14:textId="77777777" w:rsidR="00262CFC" w:rsidRPr="00972433" w:rsidRDefault="00262CFC" w:rsidP="00262CFC">
            <w:pPr>
              <w:rPr>
                <w:rFonts w:eastAsia="MS Mincho"/>
                <w:color w:val="1A1A1A"/>
                <w:lang w:eastAsia="ja-JP"/>
              </w:rPr>
            </w:pPr>
          </w:p>
        </w:tc>
      </w:tr>
      <w:tr w:rsidR="00262CFC" w14:paraId="7FF14160" w14:textId="77777777" w:rsidTr="00262CFC">
        <w:tc>
          <w:tcPr>
            <w:tcW w:w="3192" w:type="dxa"/>
          </w:tcPr>
          <w:p w14:paraId="1CB3199B" w14:textId="77777777" w:rsidR="00262CFC" w:rsidRDefault="00262CFC" w:rsidP="00262CFC">
            <w:r w:rsidRPr="00B34A1E">
              <w:rPr>
                <w:b/>
              </w:rPr>
              <w:t>IF…</w:t>
            </w:r>
            <w:r>
              <w:rPr>
                <w:rFonts w:eastAsia="MS Mincho"/>
                <w:color w:val="1A1A1A"/>
                <w:lang w:eastAsia="ja-JP"/>
              </w:rPr>
              <w:t>You introduce new concepts or definitions by requiring students to copy down notes,</w:t>
            </w:r>
          </w:p>
        </w:tc>
        <w:tc>
          <w:tcPr>
            <w:tcW w:w="3192" w:type="dxa"/>
          </w:tcPr>
          <w:p w14:paraId="1DEA1478" w14:textId="77777777" w:rsidR="00262CFC" w:rsidRDefault="00262CFC" w:rsidP="00262CFC">
            <w:r w:rsidRPr="00265277">
              <w:rPr>
                <w:b/>
              </w:rPr>
              <w:t>THEN…</w:t>
            </w:r>
            <w:r>
              <w:rPr>
                <w:rFonts w:eastAsia="MS Mincho"/>
                <w:color w:val="1A1A1A"/>
                <w:lang w:eastAsia="ja-JP"/>
              </w:rPr>
              <w:t xml:space="preserve">students will not necessarily grasp or retain this information because they have not had to wrestle with it.  </w:t>
            </w:r>
            <w:r w:rsidRPr="00972433">
              <w:rPr>
                <w:rFonts w:eastAsia="MS Mincho"/>
                <w:color w:val="1A1A1A"/>
                <w:lang w:eastAsia="ja-JP"/>
              </w:rPr>
              <w:t>Copying down definitions does not teach students how the concept works or how to use it.  Telling is not teaching.</w:t>
            </w:r>
          </w:p>
        </w:tc>
        <w:tc>
          <w:tcPr>
            <w:tcW w:w="3192" w:type="dxa"/>
          </w:tcPr>
          <w:p w14:paraId="38200C2C" w14:textId="77777777" w:rsidR="00262CFC" w:rsidRDefault="00262CFC" w:rsidP="00262CFC">
            <w:pPr>
              <w:rPr>
                <w:rFonts w:eastAsia="MS Mincho"/>
                <w:color w:val="1A1A1A"/>
                <w:lang w:eastAsia="ja-JP"/>
              </w:rPr>
            </w:pPr>
            <w:r>
              <w:rPr>
                <w:b/>
              </w:rPr>
              <w:t>SO,</w:t>
            </w:r>
            <w:r w:rsidRPr="00CC6888">
              <w:rPr>
                <w:b/>
              </w:rPr>
              <w:t xml:space="preserve"> INSTEAD:</w:t>
            </w:r>
            <w:r>
              <w:rPr>
                <w:b/>
              </w:rPr>
              <w:t xml:space="preserve"> </w:t>
            </w:r>
            <w:r w:rsidRPr="00972433">
              <w:rPr>
                <w:rFonts w:eastAsia="MS Mincho"/>
                <w:color w:val="1A1A1A"/>
                <w:lang w:eastAsia="ja-JP"/>
              </w:rPr>
              <w:t xml:space="preserve">When introducing NEW content, give clear examples of the phenomenon (e.g., two bold-faced examples of </w:t>
            </w:r>
            <w:r>
              <w:rPr>
                <w:rFonts w:eastAsia="MS Mincho"/>
                <w:color w:val="1A1A1A"/>
                <w:lang w:eastAsia="ja-JP"/>
              </w:rPr>
              <w:t>“metaphor</w:t>
            </w:r>
            <w:r w:rsidRPr="00972433">
              <w:rPr>
                <w:rFonts w:eastAsia="MS Mincho"/>
                <w:color w:val="1A1A1A"/>
                <w:lang w:eastAsia="ja-JP"/>
              </w:rPr>
              <w:t>,</w:t>
            </w:r>
            <w:r>
              <w:rPr>
                <w:rFonts w:eastAsia="MS Mincho"/>
                <w:color w:val="1A1A1A"/>
                <w:lang w:eastAsia="ja-JP"/>
              </w:rPr>
              <w:t>”</w:t>
            </w:r>
            <w:r w:rsidRPr="00972433">
              <w:rPr>
                <w:rFonts w:eastAsia="MS Mincho"/>
                <w:color w:val="1A1A1A"/>
                <w:lang w:eastAsia="ja-JP"/>
              </w:rPr>
              <w:t xml:space="preserve"> explained), then ask students to INFER from those</w:t>
            </w:r>
            <w:r>
              <w:rPr>
                <w:rFonts w:eastAsia="MS Mincho"/>
                <w:color w:val="1A1A1A"/>
                <w:lang w:eastAsia="ja-JP"/>
              </w:rPr>
              <w:t xml:space="preserve"> examples what the phenomenon appears to be</w:t>
            </w:r>
            <w:r w:rsidRPr="00972433">
              <w:rPr>
                <w:rFonts w:eastAsia="MS Mincho"/>
                <w:color w:val="1A1A1A"/>
                <w:lang w:eastAsia="ja-JP"/>
              </w:rPr>
              <w:t xml:space="preserve"> and how it </w:t>
            </w:r>
            <w:r>
              <w:rPr>
                <w:rFonts w:eastAsia="MS Mincho"/>
                <w:color w:val="1A1A1A"/>
                <w:lang w:eastAsia="ja-JP"/>
              </w:rPr>
              <w:t>seems to work</w:t>
            </w:r>
            <w:r w:rsidRPr="00972433">
              <w:rPr>
                <w:rFonts w:eastAsia="MS Mincho"/>
                <w:color w:val="1A1A1A"/>
                <w:lang w:eastAsia="ja-JP"/>
              </w:rPr>
              <w:t xml:space="preserve">.  </w:t>
            </w:r>
            <w:r>
              <w:rPr>
                <w:rFonts w:eastAsia="MS Mincho"/>
                <w:color w:val="1A1A1A"/>
                <w:lang w:eastAsia="ja-JP"/>
              </w:rPr>
              <w:t>There is not one right answer.</w:t>
            </w:r>
          </w:p>
          <w:p w14:paraId="407FBFE3" w14:textId="77777777" w:rsidR="00262CFC" w:rsidRDefault="00262CFC" w:rsidP="00262CFC"/>
        </w:tc>
      </w:tr>
      <w:tr w:rsidR="00262CFC" w14:paraId="04578AB6" w14:textId="77777777" w:rsidTr="00262CFC">
        <w:tc>
          <w:tcPr>
            <w:tcW w:w="3192" w:type="dxa"/>
          </w:tcPr>
          <w:p w14:paraId="6565FEE0" w14:textId="77777777" w:rsidR="007C47CC" w:rsidRDefault="007C47CC" w:rsidP="00262CFC">
            <w:pPr>
              <w:rPr>
                <w:b/>
              </w:rPr>
            </w:pPr>
          </w:p>
          <w:p w14:paraId="14EFD316" w14:textId="77777777" w:rsidR="007C47CC" w:rsidRDefault="007C47CC" w:rsidP="00262CFC">
            <w:pPr>
              <w:rPr>
                <w:b/>
              </w:rPr>
            </w:pPr>
          </w:p>
          <w:p w14:paraId="4F81A232" w14:textId="77777777" w:rsidR="007C47CC" w:rsidRDefault="007C47CC" w:rsidP="00262CFC">
            <w:pPr>
              <w:rPr>
                <w:b/>
              </w:rPr>
            </w:pPr>
          </w:p>
          <w:p w14:paraId="3B3842A3" w14:textId="77777777" w:rsidR="00262CFC" w:rsidRPr="00A1245E" w:rsidRDefault="00262CFC" w:rsidP="00262CFC">
            <w:pPr>
              <w:rPr>
                <w:b/>
              </w:rPr>
            </w:pPr>
            <w:r w:rsidRPr="00A1245E">
              <w:rPr>
                <w:b/>
              </w:rPr>
              <w:t>6. INCLUDE INDEPENDENT WORK.</w:t>
            </w:r>
          </w:p>
        </w:tc>
        <w:tc>
          <w:tcPr>
            <w:tcW w:w="3192" w:type="dxa"/>
          </w:tcPr>
          <w:p w14:paraId="78614552" w14:textId="77777777" w:rsidR="00262CFC" w:rsidRDefault="00262CFC" w:rsidP="00262CFC"/>
        </w:tc>
        <w:tc>
          <w:tcPr>
            <w:tcW w:w="3192" w:type="dxa"/>
          </w:tcPr>
          <w:p w14:paraId="46AD6063" w14:textId="77777777" w:rsidR="00262CFC" w:rsidRDefault="00262CFC" w:rsidP="00262CFC"/>
        </w:tc>
      </w:tr>
      <w:tr w:rsidR="00262CFC" w14:paraId="00E19915" w14:textId="77777777" w:rsidTr="00262CFC">
        <w:trPr>
          <w:trHeight w:val="1718"/>
        </w:trPr>
        <w:tc>
          <w:tcPr>
            <w:tcW w:w="3192" w:type="dxa"/>
          </w:tcPr>
          <w:p w14:paraId="2D712C4E" w14:textId="77777777" w:rsidR="00262CFC" w:rsidRDefault="00262CFC" w:rsidP="00262CFC">
            <w:r w:rsidRPr="00B34A1E">
              <w:rPr>
                <w:b/>
              </w:rPr>
              <w:t>IF…</w:t>
            </w:r>
            <w:r>
              <w:t xml:space="preserve">You do ALL the work together or in partners, </w:t>
            </w:r>
          </w:p>
        </w:tc>
        <w:tc>
          <w:tcPr>
            <w:tcW w:w="3192" w:type="dxa"/>
          </w:tcPr>
          <w:p w14:paraId="69BD6B0C" w14:textId="77777777" w:rsidR="00262CFC" w:rsidRDefault="00262CFC" w:rsidP="00262CFC">
            <w:r w:rsidRPr="00265277">
              <w:rPr>
                <w:b/>
              </w:rPr>
              <w:t>THEN…</w:t>
            </w:r>
            <w:r>
              <w:t>students learn that they don’t need to do the hard work since it’s always done together and for them.</w:t>
            </w:r>
          </w:p>
        </w:tc>
        <w:tc>
          <w:tcPr>
            <w:tcW w:w="3192" w:type="dxa"/>
          </w:tcPr>
          <w:p w14:paraId="22C0ACD6" w14:textId="77777777" w:rsidR="00262CFC" w:rsidRDefault="00262CFC" w:rsidP="00262CFC">
            <w:r>
              <w:rPr>
                <w:b/>
              </w:rPr>
              <w:t>SO,</w:t>
            </w:r>
            <w:r w:rsidRPr="00CC6888">
              <w:rPr>
                <w:b/>
              </w:rPr>
              <w:t xml:space="preserve"> INSTEAD:</w:t>
            </w:r>
            <w:r>
              <w:rPr>
                <w:b/>
              </w:rPr>
              <w:t xml:space="preserve"> </w:t>
            </w:r>
            <w:r>
              <w:t>Plan and keep independent work time sacred in class with active monitoring and personal feedback.</w:t>
            </w:r>
          </w:p>
          <w:p w14:paraId="54B362C9" w14:textId="77777777" w:rsidR="00262CFC" w:rsidRDefault="00262CFC" w:rsidP="00262CFC"/>
        </w:tc>
      </w:tr>
      <w:tr w:rsidR="00262CFC" w14:paraId="2BF15826" w14:textId="77777777" w:rsidTr="00262CFC">
        <w:tc>
          <w:tcPr>
            <w:tcW w:w="3192" w:type="dxa"/>
          </w:tcPr>
          <w:p w14:paraId="69BA68DC" w14:textId="77777777" w:rsidR="00262CFC" w:rsidRPr="00A1245E" w:rsidRDefault="00262CFC" w:rsidP="00262CFC">
            <w:pPr>
              <w:rPr>
                <w:b/>
              </w:rPr>
            </w:pPr>
            <w:r w:rsidRPr="00A1245E">
              <w:rPr>
                <w:b/>
              </w:rPr>
              <w:t>7. LET THEM STRUGGLE A BIT.</w:t>
            </w:r>
          </w:p>
        </w:tc>
        <w:tc>
          <w:tcPr>
            <w:tcW w:w="3192" w:type="dxa"/>
          </w:tcPr>
          <w:p w14:paraId="2F559C89" w14:textId="77777777" w:rsidR="00262CFC" w:rsidRDefault="00262CFC" w:rsidP="00262CFC"/>
        </w:tc>
        <w:tc>
          <w:tcPr>
            <w:tcW w:w="3192" w:type="dxa"/>
          </w:tcPr>
          <w:p w14:paraId="02630632" w14:textId="77777777" w:rsidR="00262CFC" w:rsidRPr="008E425E" w:rsidRDefault="00262CFC" w:rsidP="00262CFC">
            <w:pPr>
              <w:pStyle w:val="CommentText"/>
            </w:pPr>
          </w:p>
        </w:tc>
      </w:tr>
      <w:tr w:rsidR="00262CFC" w14:paraId="2017FB71" w14:textId="77777777" w:rsidTr="00262CFC">
        <w:tc>
          <w:tcPr>
            <w:tcW w:w="3192" w:type="dxa"/>
          </w:tcPr>
          <w:p w14:paraId="64CF752F" w14:textId="77777777" w:rsidR="00262CFC" w:rsidRDefault="00262CFC" w:rsidP="00262CFC">
            <w:r w:rsidRPr="00B34A1E">
              <w:rPr>
                <w:b/>
              </w:rPr>
              <w:t>IF…</w:t>
            </w:r>
            <w:r>
              <w:t>You answer student questions immediately during independent work time,</w:t>
            </w:r>
          </w:p>
        </w:tc>
        <w:tc>
          <w:tcPr>
            <w:tcW w:w="3192" w:type="dxa"/>
          </w:tcPr>
          <w:p w14:paraId="05CF7294" w14:textId="77777777" w:rsidR="00262CFC" w:rsidRDefault="00262CFC" w:rsidP="00262CFC">
            <w:r w:rsidRPr="00265277">
              <w:rPr>
                <w:b/>
              </w:rPr>
              <w:t>THEN…</w:t>
            </w:r>
            <w:r>
              <w:t>students learn not to try or struggle on their own.  They’ll always wait for you to swoop in!</w:t>
            </w:r>
          </w:p>
        </w:tc>
        <w:tc>
          <w:tcPr>
            <w:tcW w:w="3192" w:type="dxa"/>
          </w:tcPr>
          <w:p w14:paraId="026B5DD4" w14:textId="77777777" w:rsidR="00262CFC" w:rsidRPr="008E425E" w:rsidRDefault="00262CFC" w:rsidP="00262CFC">
            <w:pPr>
              <w:pStyle w:val="CommentText"/>
            </w:pPr>
            <w:r>
              <w:rPr>
                <w:b/>
              </w:rPr>
              <w:t>SO,</w:t>
            </w:r>
            <w:r w:rsidRPr="00CC6888">
              <w:rPr>
                <w:b/>
              </w:rPr>
              <w:t xml:space="preserve"> INSTEAD:</w:t>
            </w:r>
            <w:r>
              <w:rPr>
                <w:b/>
              </w:rPr>
              <w:t xml:space="preserve"> </w:t>
            </w:r>
            <w:r w:rsidRPr="008E425E">
              <w:t xml:space="preserve">Set a timer as soon as 100% of students are actually WORKING and you have announced previously that you will address questions after 5 min of sustained work time.  When the timer goes off, you can say, “Raise your hand if you need my attention,” and write student names on the board.  Students then return to work and </w:t>
            </w:r>
            <w:r>
              <w:t xml:space="preserve">you </w:t>
            </w:r>
            <w:r w:rsidRPr="008E425E">
              <w:t xml:space="preserve">address questions in the order of the names on the board so students aren’t sitting there waiting with their hands up.  </w:t>
            </w:r>
          </w:p>
          <w:p w14:paraId="6BFB3B1F" w14:textId="77777777" w:rsidR="00262CFC" w:rsidRDefault="00262CFC" w:rsidP="00262CFC"/>
        </w:tc>
      </w:tr>
      <w:tr w:rsidR="00262CFC" w14:paraId="454415DB" w14:textId="77777777" w:rsidTr="00262CFC">
        <w:tc>
          <w:tcPr>
            <w:tcW w:w="3192" w:type="dxa"/>
          </w:tcPr>
          <w:p w14:paraId="5315ED19" w14:textId="77777777" w:rsidR="00262CFC" w:rsidRPr="00A1245E" w:rsidRDefault="00262CFC" w:rsidP="00262CFC">
            <w:pPr>
              <w:rPr>
                <w:b/>
              </w:rPr>
            </w:pPr>
            <w:r w:rsidRPr="00A1245E">
              <w:rPr>
                <w:b/>
              </w:rPr>
              <w:t>8. TRAIN STUDENTS TO ASK QUESTIONS.</w:t>
            </w:r>
          </w:p>
        </w:tc>
        <w:tc>
          <w:tcPr>
            <w:tcW w:w="3192" w:type="dxa"/>
          </w:tcPr>
          <w:p w14:paraId="0B35CA20" w14:textId="77777777" w:rsidR="00262CFC" w:rsidRDefault="00262CFC" w:rsidP="00262CFC"/>
        </w:tc>
        <w:tc>
          <w:tcPr>
            <w:tcW w:w="3192" w:type="dxa"/>
          </w:tcPr>
          <w:p w14:paraId="2997F2A3" w14:textId="77777777" w:rsidR="00262CFC" w:rsidRDefault="00262CFC" w:rsidP="00262CFC"/>
        </w:tc>
      </w:tr>
      <w:tr w:rsidR="00262CFC" w14:paraId="4E06C7ED" w14:textId="77777777" w:rsidTr="00262CFC">
        <w:tc>
          <w:tcPr>
            <w:tcW w:w="3192" w:type="dxa"/>
          </w:tcPr>
          <w:p w14:paraId="600746B4" w14:textId="77777777" w:rsidR="00262CFC" w:rsidRDefault="00262CFC" w:rsidP="00262CFC">
            <w:r w:rsidRPr="00B34A1E">
              <w:rPr>
                <w:b/>
              </w:rPr>
              <w:t>IF…</w:t>
            </w:r>
            <w:r>
              <w:t xml:space="preserve">You ask all the questions, </w:t>
            </w:r>
          </w:p>
        </w:tc>
        <w:tc>
          <w:tcPr>
            <w:tcW w:w="3192" w:type="dxa"/>
          </w:tcPr>
          <w:p w14:paraId="1230408F" w14:textId="77777777" w:rsidR="00262CFC" w:rsidRDefault="00262CFC" w:rsidP="00262CFC">
            <w:r w:rsidRPr="00265277">
              <w:rPr>
                <w:b/>
              </w:rPr>
              <w:t>THEN…</w:t>
            </w:r>
            <w:r>
              <w:t>students never learn to ask their own or invest themselves enough to wonder.</w:t>
            </w:r>
          </w:p>
        </w:tc>
        <w:tc>
          <w:tcPr>
            <w:tcW w:w="3192" w:type="dxa"/>
          </w:tcPr>
          <w:p w14:paraId="60296745" w14:textId="77777777" w:rsidR="00262CFC" w:rsidRDefault="00262CFC" w:rsidP="00262CFC">
            <w:r>
              <w:rPr>
                <w:b/>
              </w:rPr>
              <w:t>SO,</w:t>
            </w:r>
            <w:r w:rsidRPr="00CC6888">
              <w:rPr>
                <w:b/>
              </w:rPr>
              <w:t xml:space="preserve"> INSTEAD:</w:t>
            </w:r>
            <w:r>
              <w:rPr>
                <w:b/>
              </w:rPr>
              <w:t xml:space="preserve"> </w:t>
            </w:r>
            <w:r>
              <w:t>Create time for asking and answering questions about the text, problem, or content at hand.  Invest students in seeking their own answers.</w:t>
            </w:r>
            <w:r>
              <w:rPr>
                <w:rStyle w:val="FootnoteReference"/>
              </w:rPr>
              <w:footnoteReference w:id="4"/>
            </w:r>
          </w:p>
          <w:p w14:paraId="2F6B9A2F" w14:textId="77777777" w:rsidR="00262CFC" w:rsidRDefault="00262CFC" w:rsidP="00262CFC"/>
        </w:tc>
      </w:tr>
    </w:tbl>
    <w:p w14:paraId="7530BA8B" w14:textId="77777777" w:rsidR="00262CFC" w:rsidRDefault="00262CFC" w:rsidP="00262CFC">
      <w:pPr>
        <w:spacing w:line="480" w:lineRule="auto"/>
      </w:pPr>
    </w:p>
    <w:p w14:paraId="69715277" w14:textId="77777777" w:rsidR="007C47CC" w:rsidRDefault="007C47CC">
      <w:pPr>
        <w:rPr>
          <w:b/>
          <w:u w:val="single"/>
        </w:rPr>
      </w:pPr>
      <w:r>
        <w:rPr>
          <w:b/>
          <w:u w:val="single"/>
        </w:rPr>
        <w:br w:type="page"/>
      </w:r>
    </w:p>
    <w:p w14:paraId="3B7595B1" w14:textId="77777777" w:rsidR="00262CFC" w:rsidRPr="00691768" w:rsidRDefault="00262CFC" w:rsidP="00262CFC">
      <w:pPr>
        <w:spacing w:line="480" w:lineRule="auto"/>
        <w:rPr>
          <w:b/>
          <w:u w:val="single"/>
        </w:rPr>
      </w:pPr>
      <w:r w:rsidRPr="00691768">
        <w:rPr>
          <w:b/>
          <w:u w:val="single"/>
        </w:rPr>
        <w:t>Provide Models for Clarity</w:t>
      </w:r>
    </w:p>
    <w:tbl>
      <w:tblPr>
        <w:tblStyle w:val="TableGrid"/>
        <w:tblW w:w="0" w:type="auto"/>
        <w:tblLook w:val="04A0" w:firstRow="1" w:lastRow="0" w:firstColumn="1" w:lastColumn="0" w:noHBand="0" w:noVBand="1"/>
      </w:tblPr>
      <w:tblGrid>
        <w:gridCol w:w="3001"/>
        <w:gridCol w:w="2917"/>
        <w:gridCol w:w="2938"/>
      </w:tblGrid>
      <w:tr w:rsidR="00262CFC" w14:paraId="2E33C380" w14:textId="77777777" w:rsidTr="00262CFC">
        <w:tc>
          <w:tcPr>
            <w:tcW w:w="3192" w:type="dxa"/>
          </w:tcPr>
          <w:p w14:paraId="28FC87CF" w14:textId="77777777" w:rsidR="00262CFC" w:rsidRPr="00B34A1E" w:rsidRDefault="00262CFC" w:rsidP="00262CFC">
            <w:pPr>
              <w:rPr>
                <w:b/>
              </w:rPr>
            </w:pPr>
            <w:r>
              <w:rPr>
                <w:b/>
              </w:rPr>
              <w:t>9. PROVIDE CLEAR MODELS.</w:t>
            </w:r>
          </w:p>
        </w:tc>
        <w:tc>
          <w:tcPr>
            <w:tcW w:w="3192" w:type="dxa"/>
          </w:tcPr>
          <w:p w14:paraId="7AF2E83D" w14:textId="77777777" w:rsidR="00262CFC" w:rsidRPr="00B34A1E" w:rsidRDefault="00262CFC" w:rsidP="00262CFC">
            <w:pPr>
              <w:spacing w:line="480" w:lineRule="auto"/>
              <w:rPr>
                <w:b/>
              </w:rPr>
            </w:pPr>
          </w:p>
        </w:tc>
        <w:tc>
          <w:tcPr>
            <w:tcW w:w="3192" w:type="dxa"/>
          </w:tcPr>
          <w:p w14:paraId="53C45668" w14:textId="77777777" w:rsidR="00262CFC" w:rsidRPr="00B34A1E" w:rsidRDefault="00262CFC" w:rsidP="00262CFC">
            <w:pPr>
              <w:spacing w:line="480" w:lineRule="auto"/>
              <w:rPr>
                <w:b/>
              </w:rPr>
            </w:pPr>
          </w:p>
        </w:tc>
      </w:tr>
      <w:tr w:rsidR="00262CFC" w14:paraId="0C6AC5F7" w14:textId="77777777" w:rsidTr="00262CFC">
        <w:tc>
          <w:tcPr>
            <w:tcW w:w="3192" w:type="dxa"/>
          </w:tcPr>
          <w:p w14:paraId="12DFD8AC" w14:textId="77777777" w:rsidR="00262CFC" w:rsidRDefault="00262CFC" w:rsidP="00262CFC">
            <w:r w:rsidRPr="00B34A1E">
              <w:rPr>
                <w:b/>
              </w:rPr>
              <w:t>IF…</w:t>
            </w:r>
            <w:r>
              <w:t xml:space="preserve">You fail to model the </w:t>
            </w:r>
            <w:r w:rsidR="00D652E4">
              <w:t>work</w:t>
            </w:r>
            <w:r>
              <w:t xml:space="preserve"> and/or you skip guided practice,</w:t>
            </w:r>
          </w:p>
        </w:tc>
        <w:tc>
          <w:tcPr>
            <w:tcW w:w="3192" w:type="dxa"/>
          </w:tcPr>
          <w:p w14:paraId="308809CA" w14:textId="77777777" w:rsidR="00262CFC" w:rsidRDefault="00262CFC" w:rsidP="00262CFC">
            <w:r w:rsidRPr="00B34A1E">
              <w:rPr>
                <w:b/>
              </w:rPr>
              <w:t>THEN…</w:t>
            </w:r>
            <w:r>
              <w:rPr>
                <w:rFonts w:eastAsia="MS Mincho"/>
                <w:color w:val="1A1A1A"/>
                <w:lang w:eastAsia="ja-JP"/>
              </w:rPr>
              <w:t>students will not work well independently.  When students are unclear about what they are supposed to do, they do nothing.  Or chat.  Or do something else to get into trouble.  Misbehavior is often the result of students feeling incompetent and acting out to distract from the fact that they don’t know how to be successful at what you are asking them to do.</w:t>
            </w:r>
          </w:p>
        </w:tc>
        <w:tc>
          <w:tcPr>
            <w:tcW w:w="3192" w:type="dxa"/>
          </w:tcPr>
          <w:p w14:paraId="6DEC52E9" w14:textId="77777777" w:rsidR="00262CFC" w:rsidRDefault="00262CFC" w:rsidP="00262CFC">
            <w:r>
              <w:rPr>
                <w:b/>
              </w:rPr>
              <w:t>SO,</w:t>
            </w:r>
            <w:r w:rsidRPr="00CC6888">
              <w:rPr>
                <w:b/>
              </w:rPr>
              <w:t xml:space="preserve"> INSTEAD:</w:t>
            </w:r>
            <w:r>
              <w:rPr>
                <w:b/>
              </w:rPr>
              <w:t xml:space="preserve"> </w:t>
            </w:r>
            <w:r>
              <w:t xml:space="preserve">Provide a clear, instructive model of whatever skills or strategies you want students to use.  And remember, “I Do” doesn’t mean “I do everything while you sit silently and do nothing.”  You need to engage students and check for understanding during the modeling phase so that you can assess if students need more modeling, paired work, or independent work. </w:t>
            </w:r>
          </w:p>
          <w:p w14:paraId="1E35AE41" w14:textId="77777777" w:rsidR="00262CFC" w:rsidRDefault="00262CFC" w:rsidP="00262CFC"/>
        </w:tc>
      </w:tr>
      <w:tr w:rsidR="00262CFC" w14:paraId="6DDE755F" w14:textId="77777777" w:rsidTr="00262CFC">
        <w:tc>
          <w:tcPr>
            <w:tcW w:w="3192" w:type="dxa"/>
          </w:tcPr>
          <w:p w14:paraId="773939BE" w14:textId="77777777" w:rsidR="00262CFC" w:rsidRPr="00A1245E" w:rsidRDefault="00262CFC" w:rsidP="00262CFC">
            <w:pPr>
              <w:rPr>
                <w:b/>
              </w:rPr>
            </w:pPr>
            <w:r w:rsidRPr="00A1245E">
              <w:rPr>
                <w:b/>
              </w:rPr>
              <w:t>10. ANALYZE EXEMPLARS.</w:t>
            </w:r>
          </w:p>
        </w:tc>
        <w:tc>
          <w:tcPr>
            <w:tcW w:w="3192" w:type="dxa"/>
          </w:tcPr>
          <w:p w14:paraId="696923E2" w14:textId="77777777" w:rsidR="00262CFC" w:rsidRPr="00E93AC9" w:rsidRDefault="00262CFC" w:rsidP="00262CFC">
            <w:pPr>
              <w:rPr>
                <w:rFonts w:eastAsia="MS Mincho"/>
              </w:rPr>
            </w:pPr>
          </w:p>
        </w:tc>
        <w:tc>
          <w:tcPr>
            <w:tcW w:w="3192" w:type="dxa"/>
          </w:tcPr>
          <w:p w14:paraId="01928AAB" w14:textId="77777777" w:rsidR="00262CFC" w:rsidRPr="00E93AC9" w:rsidRDefault="00262CFC" w:rsidP="00262CFC">
            <w:pPr>
              <w:rPr>
                <w:rFonts w:eastAsia="MS Mincho"/>
              </w:rPr>
            </w:pPr>
          </w:p>
        </w:tc>
      </w:tr>
      <w:tr w:rsidR="00262CFC" w14:paraId="5FAAF65B" w14:textId="77777777" w:rsidTr="00262CFC">
        <w:tc>
          <w:tcPr>
            <w:tcW w:w="3192" w:type="dxa"/>
          </w:tcPr>
          <w:p w14:paraId="0A49A0A6" w14:textId="77777777" w:rsidR="00262CFC" w:rsidRDefault="00262CFC" w:rsidP="00262CFC">
            <w:r w:rsidRPr="00B34A1E">
              <w:rPr>
                <w:b/>
              </w:rPr>
              <w:t>IF…</w:t>
            </w:r>
            <w:r w:rsidRPr="00E93AC9">
              <w:t xml:space="preserve">You don’t provide students with model essays, sentences, </w:t>
            </w:r>
            <w:r>
              <w:t xml:space="preserve">or </w:t>
            </w:r>
            <w:r w:rsidRPr="00E93AC9">
              <w:t xml:space="preserve">examples, BEFORE they need to complete a task, </w:t>
            </w:r>
          </w:p>
        </w:tc>
        <w:tc>
          <w:tcPr>
            <w:tcW w:w="3192" w:type="dxa"/>
          </w:tcPr>
          <w:p w14:paraId="45A4A4F2" w14:textId="77777777" w:rsidR="00262CFC" w:rsidRDefault="00262CFC" w:rsidP="00262CFC">
            <w:r w:rsidRPr="00B34A1E">
              <w:rPr>
                <w:b/>
              </w:rPr>
              <w:t>THEN…</w:t>
            </w:r>
            <w:r w:rsidRPr="00E93AC9">
              <w:rPr>
                <w:rFonts w:eastAsia="MS Mincho"/>
              </w:rPr>
              <w:t xml:space="preserve">they don’t know what “good” looks like and </w:t>
            </w:r>
            <w:r>
              <w:rPr>
                <w:rFonts w:eastAsia="MS Mincho"/>
              </w:rPr>
              <w:t>will</w:t>
            </w:r>
            <w:r w:rsidRPr="00E93AC9">
              <w:rPr>
                <w:rFonts w:eastAsia="MS Mincho"/>
              </w:rPr>
              <w:t xml:space="preserve"> be </w:t>
            </w:r>
            <w:r>
              <w:rPr>
                <w:rFonts w:eastAsia="MS Mincho"/>
              </w:rPr>
              <w:t>uncertain about</w:t>
            </w:r>
            <w:r w:rsidRPr="00E93AC9">
              <w:rPr>
                <w:rFonts w:eastAsia="MS Mincho"/>
              </w:rPr>
              <w:t xml:space="preserve"> what to do.</w:t>
            </w:r>
          </w:p>
        </w:tc>
        <w:tc>
          <w:tcPr>
            <w:tcW w:w="3192" w:type="dxa"/>
          </w:tcPr>
          <w:p w14:paraId="5858AAEF" w14:textId="77777777" w:rsidR="00262CFC" w:rsidRDefault="00262CFC" w:rsidP="00262CFC">
            <w:pPr>
              <w:rPr>
                <w:rFonts w:eastAsia="MS Mincho"/>
              </w:rPr>
            </w:pPr>
            <w:r>
              <w:rPr>
                <w:b/>
              </w:rPr>
              <w:t>SO,</w:t>
            </w:r>
            <w:r w:rsidRPr="00CC6888">
              <w:rPr>
                <w:b/>
              </w:rPr>
              <w:t xml:space="preserve"> INSTEAD:</w:t>
            </w:r>
            <w:r>
              <w:rPr>
                <w:b/>
              </w:rPr>
              <w:t xml:space="preserve"> </w:t>
            </w:r>
            <w:r w:rsidRPr="00E93AC9">
              <w:rPr>
                <w:rFonts w:eastAsia="MS Mincho"/>
              </w:rPr>
              <w:t xml:space="preserve">Analyze an exemplar before you set students to work.  Assess </w:t>
            </w:r>
            <w:r>
              <w:rPr>
                <w:rFonts w:eastAsia="MS Mincho"/>
              </w:rPr>
              <w:t xml:space="preserve">it </w:t>
            </w:r>
            <w:r w:rsidRPr="00E93AC9">
              <w:rPr>
                <w:rFonts w:eastAsia="MS Mincho"/>
              </w:rPr>
              <w:t>together on a rubric or compare “good” and “great” so students can aim for “great” from the start.</w:t>
            </w:r>
          </w:p>
          <w:p w14:paraId="5CA2768D" w14:textId="77777777" w:rsidR="00262CFC" w:rsidRDefault="00262CFC" w:rsidP="00262CFC"/>
        </w:tc>
      </w:tr>
      <w:tr w:rsidR="00262CFC" w14:paraId="41CDE60A" w14:textId="77777777" w:rsidTr="00262CFC">
        <w:tc>
          <w:tcPr>
            <w:tcW w:w="3192" w:type="dxa"/>
          </w:tcPr>
          <w:p w14:paraId="3CB9F9EB" w14:textId="77777777" w:rsidR="00262CFC" w:rsidRPr="00A1245E" w:rsidRDefault="00262CFC" w:rsidP="00262CFC">
            <w:pPr>
              <w:rPr>
                <w:b/>
              </w:rPr>
            </w:pPr>
            <w:r w:rsidRPr="00A1245E">
              <w:rPr>
                <w:b/>
              </w:rPr>
              <w:t xml:space="preserve">11. </w:t>
            </w:r>
            <w:r>
              <w:rPr>
                <w:b/>
              </w:rPr>
              <w:t>INVITE STUDENTS TO USE</w:t>
            </w:r>
            <w:r w:rsidRPr="00A1245E">
              <w:rPr>
                <w:b/>
              </w:rPr>
              <w:t xml:space="preserve"> </w:t>
            </w:r>
            <w:r>
              <w:rPr>
                <w:b/>
              </w:rPr>
              <w:t xml:space="preserve">GENERALIZABLE </w:t>
            </w:r>
            <w:r w:rsidRPr="00A1245E">
              <w:rPr>
                <w:b/>
              </w:rPr>
              <w:t>STRATEGIES.</w:t>
            </w:r>
          </w:p>
        </w:tc>
        <w:tc>
          <w:tcPr>
            <w:tcW w:w="3192" w:type="dxa"/>
          </w:tcPr>
          <w:p w14:paraId="45B585B0" w14:textId="77777777" w:rsidR="00262CFC" w:rsidRDefault="00262CFC" w:rsidP="00262CFC">
            <w:pPr>
              <w:rPr>
                <w:rFonts w:eastAsia="MS Mincho"/>
                <w:color w:val="1A1A1A"/>
                <w:lang w:eastAsia="ja-JP"/>
              </w:rPr>
            </w:pPr>
          </w:p>
        </w:tc>
        <w:tc>
          <w:tcPr>
            <w:tcW w:w="3192" w:type="dxa"/>
          </w:tcPr>
          <w:p w14:paraId="5FD67831" w14:textId="77777777" w:rsidR="00262CFC" w:rsidRPr="00FF19C8" w:rsidRDefault="00262CFC" w:rsidP="00262CFC">
            <w:pPr>
              <w:widowControl w:val="0"/>
              <w:autoSpaceDE w:val="0"/>
              <w:autoSpaceDN w:val="0"/>
              <w:adjustRightInd w:val="0"/>
              <w:rPr>
                <w:rFonts w:eastAsia="MS Mincho"/>
                <w:color w:val="1A1A1A"/>
                <w:lang w:eastAsia="ja-JP"/>
              </w:rPr>
            </w:pPr>
          </w:p>
        </w:tc>
      </w:tr>
      <w:tr w:rsidR="00262CFC" w14:paraId="49D11F60" w14:textId="77777777" w:rsidTr="00262CFC">
        <w:tc>
          <w:tcPr>
            <w:tcW w:w="3192" w:type="dxa"/>
          </w:tcPr>
          <w:p w14:paraId="12FED93D" w14:textId="77777777" w:rsidR="00262CFC" w:rsidRDefault="00262CFC" w:rsidP="00262CFC">
            <w:r w:rsidRPr="00B34A1E">
              <w:rPr>
                <w:b/>
              </w:rPr>
              <w:t>IF…</w:t>
            </w:r>
            <w:r>
              <w:t>You focus on the specific task/text/problem at hand without inviting students to apply a generalized skill/strategy,</w:t>
            </w:r>
          </w:p>
        </w:tc>
        <w:tc>
          <w:tcPr>
            <w:tcW w:w="3192" w:type="dxa"/>
          </w:tcPr>
          <w:p w14:paraId="55E0B733" w14:textId="77777777" w:rsidR="00262CFC" w:rsidRDefault="00262CFC" w:rsidP="00262CFC">
            <w:r w:rsidRPr="00B34A1E">
              <w:rPr>
                <w:b/>
              </w:rPr>
              <w:t>THEN…</w:t>
            </w:r>
            <w:r>
              <w:rPr>
                <w:rFonts w:eastAsia="MS Mincho"/>
                <w:color w:val="1A1A1A"/>
                <w:lang w:eastAsia="ja-JP"/>
              </w:rPr>
              <w:t>they will miss the opportunity to access the tools in their toolbox.  They might even forget that they possess relevant skills/strategies.</w:t>
            </w:r>
          </w:p>
        </w:tc>
        <w:tc>
          <w:tcPr>
            <w:tcW w:w="3192" w:type="dxa"/>
          </w:tcPr>
          <w:p w14:paraId="28E108A7" w14:textId="77777777" w:rsidR="00262CFC" w:rsidRPr="00FF19C8" w:rsidRDefault="00262CFC" w:rsidP="00262CFC">
            <w:pPr>
              <w:widowControl w:val="0"/>
              <w:autoSpaceDE w:val="0"/>
              <w:autoSpaceDN w:val="0"/>
              <w:adjustRightInd w:val="0"/>
              <w:rPr>
                <w:rFonts w:eastAsia="MS Mincho"/>
                <w:color w:val="1A1A1A"/>
                <w:lang w:eastAsia="ja-JP"/>
              </w:rPr>
            </w:pPr>
            <w:r>
              <w:rPr>
                <w:b/>
              </w:rPr>
              <w:t>SO,</w:t>
            </w:r>
            <w:r w:rsidRPr="00CC6888">
              <w:rPr>
                <w:b/>
              </w:rPr>
              <w:t xml:space="preserve"> INSTEAD:</w:t>
            </w:r>
            <w:r>
              <w:rPr>
                <w:b/>
              </w:rPr>
              <w:t xml:space="preserve"> </w:t>
            </w:r>
            <w:r w:rsidRPr="00FF19C8">
              <w:rPr>
                <w:rFonts w:eastAsia="MS Mincho"/>
                <w:color w:val="1A1A1A"/>
                <w:lang w:eastAsia="ja-JP"/>
              </w:rPr>
              <w:t>Teach</w:t>
            </w:r>
            <w:r>
              <w:rPr>
                <w:rFonts w:eastAsia="MS Mincho"/>
                <w:color w:val="1A1A1A"/>
                <w:lang w:eastAsia="ja-JP"/>
              </w:rPr>
              <w:t xml:space="preserve"> and name</w:t>
            </w:r>
            <w:r w:rsidRPr="00FF19C8">
              <w:rPr>
                <w:rFonts w:eastAsia="MS Mincho"/>
                <w:color w:val="1A1A1A"/>
                <w:lang w:eastAsia="ja-JP"/>
              </w:rPr>
              <w:t xml:space="preserve"> STRATEGIES</w:t>
            </w:r>
            <w:r>
              <w:rPr>
                <w:rFonts w:eastAsia="MS Mincho"/>
                <w:color w:val="1A1A1A"/>
                <w:lang w:eastAsia="ja-JP"/>
              </w:rPr>
              <w:t xml:space="preserve">, then </w:t>
            </w:r>
            <w:r w:rsidRPr="00FF19C8">
              <w:rPr>
                <w:rFonts w:eastAsia="MS Mincho"/>
                <w:color w:val="1A1A1A"/>
                <w:lang w:eastAsia="ja-JP"/>
              </w:rPr>
              <w:t xml:space="preserve">remind students to use them when faced with challenges.  Not “What should we do here?” but “What strategy should we use </w:t>
            </w:r>
            <w:r w:rsidRPr="00FF19C8">
              <w:rPr>
                <w:rFonts w:eastAsia="MS Mincho"/>
                <w:i/>
                <w:color w:val="1A1A1A"/>
                <w:lang w:eastAsia="ja-JP"/>
              </w:rPr>
              <w:t>in a situation like this</w:t>
            </w:r>
            <w:r w:rsidRPr="00FF19C8">
              <w:rPr>
                <w:rFonts w:eastAsia="MS Mincho"/>
                <w:color w:val="1A1A1A"/>
                <w:lang w:eastAsia="ja-JP"/>
              </w:rPr>
              <w:t>?”</w:t>
            </w:r>
            <w:r>
              <w:rPr>
                <w:rFonts w:eastAsia="MS Mincho"/>
                <w:color w:val="1A1A1A"/>
                <w:lang w:eastAsia="ja-JP"/>
              </w:rPr>
              <w:t xml:space="preserve">  Provide clear steps for strategies.</w:t>
            </w:r>
          </w:p>
          <w:p w14:paraId="5C15C270" w14:textId="77777777" w:rsidR="00262CFC" w:rsidRDefault="00262CFC" w:rsidP="00262CFC"/>
        </w:tc>
      </w:tr>
      <w:tr w:rsidR="00262CFC" w14:paraId="6539A156" w14:textId="77777777" w:rsidTr="00262CFC">
        <w:tc>
          <w:tcPr>
            <w:tcW w:w="3192" w:type="dxa"/>
          </w:tcPr>
          <w:p w14:paraId="76AD73CC" w14:textId="77777777" w:rsidR="007C47CC" w:rsidRDefault="007C47CC" w:rsidP="00262CFC">
            <w:pPr>
              <w:rPr>
                <w:rFonts w:eastAsia="MS Mincho"/>
                <w:b/>
                <w:color w:val="1A1A1A"/>
                <w:lang w:eastAsia="ja-JP"/>
              </w:rPr>
            </w:pPr>
          </w:p>
          <w:p w14:paraId="774055B6" w14:textId="77777777" w:rsidR="007C47CC" w:rsidRDefault="007C47CC" w:rsidP="00262CFC">
            <w:pPr>
              <w:rPr>
                <w:rFonts w:eastAsia="MS Mincho"/>
                <w:b/>
                <w:color w:val="1A1A1A"/>
                <w:lang w:eastAsia="ja-JP"/>
              </w:rPr>
            </w:pPr>
          </w:p>
          <w:p w14:paraId="7A252A04" w14:textId="77777777" w:rsidR="00262CFC" w:rsidRPr="00A1245E" w:rsidRDefault="00262CFC" w:rsidP="00262CFC">
            <w:pPr>
              <w:rPr>
                <w:rFonts w:eastAsia="MS Mincho"/>
                <w:b/>
                <w:color w:val="1A1A1A"/>
                <w:lang w:eastAsia="ja-JP"/>
              </w:rPr>
            </w:pPr>
            <w:r w:rsidRPr="00A1245E">
              <w:rPr>
                <w:rFonts w:eastAsia="MS Mincho"/>
                <w:b/>
                <w:color w:val="1A1A1A"/>
                <w:lang w:eastAsia="ja-JP"/>
              </w:rPr>
              <w:t>12. MODEL HAND-RAISING.</w:t>
            </w:r>
          </w:p>
        </w:tc>
        <w:tc>
          <w:tcPr>
            <w:tcW w:w="3192" w:type="dxa"/>
          </w:tcPr>
          <w:p w14:paraId="7EC9C1E0" w14:textId="77777777" w:rsidR="00262CFC" w:rsidRPr="001A3AC1" w:rsidRDefault="00262CFC" w:rsidP="00262CFC">
            <w:pPr>
              <w:rPr>
                <w:rFonts w:eastAsiaTheme="minorEastAsia"/>
                <w:bCs/>
                <w:color w:val="141414"/>
                <w:lang w:eastAsia="ja-JP"/>
              </w:rPr>
            </w:pPr>
          </w:p>
        </w:tc>
        <w:tc>
          <w:tcPr>
            <w:tcW w:w="3192" w:type="dxa"/>
          </w:tcPr>
          <w:p w14:paraId="1D1FBA45" w14:textId="77777777" w:rsidR="00262CFC" w:rsidRPr="001A3AC1" w:rsidRDefault="00262CFC" w:rsidP="00262CFC">
            <w:pPr>
              <w:rPr>
                <w:rFonts w:eastAsiaTheme="minorEastAsia"/>
                <w:bCs/>
                <w:color w:val="141414"/>
                <w:lang w:eastAsia="ja-JP"/>
              </w:rPr>
            </w:pPr>
          </w:p>
        </w:tc>
      </w:tr>
      <w:tr w:rsidR="00262CFC" w14:paraId="1BFBF977" w14:textId="77777777" w:rsidTr="00262CFC">
        <w:tc>
          <w:tcPr>
            <w:tcW w:w="3192" w:type="dxa"/>
          </w:tcPr>
          <w:p w14:paraId="6EEF49E3" w14:textId="77777777" w:rsidR="00262CFC" w:rsidRDefault="00262CFC" w:rsidP="00262CFC">
            <w:r w:rsidRPr="00B34A1E">
              <w:rPr>
                <w:b/>
              </w:rPr>
              <w:t>IF…</w:t>
            </w:r>
            <w:r w:rsidRPr="001A3AC1">
              <w:rPr>
                <w:rFonts w:eastAsia="MS Mincho"/>
                <w:color w:val="1A1A1A"/>
                <w:lang w:eastAsia="ja-JP"/>
              </w:rPr>
              <w:t>You ask questions during class discussions without modeling hand-raising,</w:t>
            </w:r>
          </w:p>
        </w:tc>
        <w:tc>
          <w:tcPr>
            <w:tcW w:w="3192" w:type="dxa"/>
          </w:tcPr>
          <w:p w14:paraId="6CF28E03" w14:textId="77777777" w:rsidR="00262CFC" w:rsidRPr="001A3AC1" w:rsidRDefault="00262CFC" w:rsidP="00262CFC">
            <w:r w:rsidRPr="00B34A1E">
              <w:rPr>
                <w:b/>
              </w:rPr>
              <w:t>THEN…</w:t>
            </w:r>
            <w:r w:rsidRPr="001A3AC1">
              <w:rPr>
                <w:rFonts w:eastAsiaTheme="minorEastAsia"/>
                <w:bCs/>
                <w:color w:val="141414"/>
                <w:lang w:eastAsia="ja-JP"/>
              </w:rPr>
              <w:t>students are likely to</w:t>
            </w:r>
            <w:r w:rsidRPr="001A3AC1">
              <w:rPr>
                <w:rFonts w:eastAsiaTheme="minorEastAsia"/>
                <w:color w:val="141414"/>
                <w:lang w:eastAsia="ja-JP"/>
              </w:rPr>
              <w:t xml:space="preserve"> call out.  Wh</w:t>
            </w:r>
            <w:r>
              <w:rPr>
                <w:rFonts w:eastAsiaTheme="minorEastAsia"/>
                <w:color w:val="141414"/>
                <w:lang w:eastAsia="ja-JP"/>
              </w:rPr>
              <w:t>ile this might seem like a management problem</w:t>
            </w:r>
            <w:r w:rsidRPr="001A3AC1">
              <w:rPr>
                <w:rFonts w:eastAsiaTheme="minorEastAsia"/>
                <w:color w:val="141414"/>
                <w:lang w:eastAsia="ja-JP"/>
              </w:rPr>
              <w:t xml:space="preserve">, it can become an </w:t>
            </w:r>
            <w:r>
              <w:rPr>
                <w:rFonts w:eastAsiaTheme="minorEastAsia"/>
                <w:color w:val="141414"/>
                <w:lang w:eastAsia="ja-JP"/>
              </w:rPr>
              <w:t xml:space="preserve">ENGAGEMENT </w:t>
            </w:r>
            <w:r w:rsidRPr="001A3AC1">
              <w:rPr>
                <w:rFonts w:eastAsiaTheme="minorEastAsia"/>
                <w:color w:val="141414"/>
                <w:lang w:eastAsia="ja-JP"/>
              </w:rPr>
              <w:t>problem because so</w:t>
            </w:r>
            <w:r>
              <w:rPr>
                <w:rFonts w:eastAsiaTheme="minorEastAsia"/>
                <w:color w:val="141414"/>
                <w:lang w:eastAsia="ja-JP"/>
              </w:rPr>
              <w:t>me students—esp. quieter one</w:t>
            </w:r>
            <w:r w:rsidRPr="001A3AC1">
              <w:rPr>
                <w:rFonts w:eastAsiaTheme="minorEastAsia"/>
                <w:color w:val="141414"/>
                <w:lang w:eastAsia="ja-JP"/>
              </w:rPr>
              <w:t>s—feel intimidated by those who tend to call out, so they share their ideas less often if calling out is the norm.</w:t>
            </w:r>
          </w:p>
          <w:p w14:paraId="303EEF5E" w14:textId="77777777" w:rsidR="00262CFC" w:rsidRDefault="00262CFC" w:rsidP="00262CFC"/>
        </w:tc>
        <w:tc>
          <w:tcPr>
            <w:tcW w:w="3192" w:type="dxa"/>
          </w:tcPr>
          <w:p w14:paraId="7971C0BD" w14:textId="77777777" w:rsidR="00262CFC" w:rsidRDefault="00262CFC" w:rsidP="00262CFC">
            <w:r>
              <w:rPr>
                <w:b/>
              </w:rPr>
              <w:t>SO,</w:t>
            </w:r>
            <w:r w:rsidRPr="00CC6888">
              <w:rPr>
                <w:b/>
              </w:rPr>
              <w:t xml:space="preserve"> INSTEAD:</w:t>
            </w:r>
            <w:r>
              <w:rPr>
                <w:b/>
              </w:rPr>
              <w:t xml:space="preserve"> </w:t>
            </w:r>
            <w:r w:rsidRPr="001A3AC1">
              <w:rPr>
                <w:rFonts w:eastAsiaTheme="minorEastAsia"/>
                <w:bCs/>
                <w:color w:val="141414"/>
                <w:lang w:eastAsia="ja-JP"/>
              </w:rPr>
              <w:t>Model hand-raising to ensure that students raise their hands to answer.</w:t>
            </w:r>
            <w:r w:rsidRPr="001A3AC1">
              <w:rPr>
                <w:rFonts w:eastAsiaTheme="minorEastAsia"/>
                <w:color w:val="141414"/>
                <w:lang w:eastAsia="ja-JP"/>
              </w:rPr>
              <w:t> </w:t>
            </w:r>
            <w:r>
              <w:rPr>
                <w:rFonts w:eastAsiaTheme="minorEastAsia"/>
                <w:color w:val="141414"/>
                <w:lang w:eastAsia="ja-JP"/>
              </w:rPr>
              <w:t xml:space="preserve">  </w:t>
            </w:r>
            <w:r>
              <w:t>Ensure you call on multiple students—or better yet, let students know the expectation is to call on another student when they are done to continue the discussion without you driving it.</w:t>
            </w:r>
          </w:p>
        </w:tc>
      </w:tr>
      <w:tr w:rsidR="00262CFC" w14:paraId="1FD96E09" w14:textId="77777777" w:rsidTr="00262CFC">
        <w:tc>
          <w:tcPr>
            <w:tcW w:w="3192" w:type="dxa"/>
          </w:tcPr>
          <w:p w14:paraId="2C9E05CD" w14:textId="77777777" w:rsidR="00262CFC" w:rsidRPr="00500152" w:rsidRDefault="00262CFC" w:rsidP="00262CFC">
            <w:pPr>
              <w:rPr>
                <w:b/>
              </w:rPr>
            </w:pPr>
            <w:r w:rsidRPr="00500152">
              <w:rPr>
                <w:b/>
              </w:rPr>
              <w:t>13. SET A PURPOSE FOR READING.</w:t>
            </w:r>
          </w:p>
        </w:tc>
        <w:tc>
          <w:tcPr>
            <w:tcW w:w="3192" w:type="dxa"/>
          </w:tcPr>
          <w:p w14:paraId="45514C75" w14:textId="77777777" w:rsidR="00262CFC" w:rsidRPr="00801D4B" w:rsidRDefault="00262CFC" w:rsidP="00262CFC">
            <w:pPr>
              <w:rPr>
                <w:rFonts w:eastAsia="MS Mincho"/>
                <w:color w:val="1A1A1A"/>
                <w:lang w:eastAsia="ja-JP"/>
              </w:rPr>
            </w:pPr>
          </w:p>
        </w:tc>
        <w:tc>
          <w:tcPr>
            <w:tcW w:w="3192" w:type="dxa"/>
          </w:tcPr>
          <w:p w14:paraId="5AEF0D2D" w14:textId="77777777" w:rsidR="00262CFC" w:rsidRDefault="00262CFC" w:rsidP="00262CFC"/>
        </w:tc>
      </w:tr>
      <w:tr w:rsidR="00262CFC" w14:paraId="0E22D135" w14:textId="77777777" w:rsidTr="00262CFC">
        <w:tc>
          <w:tcPr>
            <w:tcW w:w="3192" w:type="dxa"/>
          </w:tcPr>
          <w:p w14:paraId="735F1E51" w14:textId="77777777" w:rsidR="00262CFC" w:rsidRDefault="00262CFC" w:rsidP="00262CFC">
            <w:r w:rsidRPr="00B34A1E">
              <w:rPr>
                <w:b/>
              </w:rPr>
              <w:t>IF…</w:t>
            </w:r>
            <w:r>
              <w:t>You assign reading without establishing a purpose for reading,</w:t>
            </w:r>
          </w:p>
        </w:tc>
        <w:tc>
          <w:tcPr>
            <w:tcW w:w="3192" w:type="dxa"/>
          </w:tcPr>
          <w:p w14:paraId="231AFB78" w14:textId="77777777" w:rsidR="00262CFC" w:rsidRDefault="00262CFC" w:rsidP="00262CFC">
            <w:r w:rsidRPr="00B34A1E">
              <w:rPr>
                <w:b/>
              </w:rPr>
              <w:t>THEN…</w:t>
            </w:r>
            <w:r w:rsidRPr="00801D4B">
              <w:rPr>
                <w:rFonts w:eastAsia="MS Mincho"/>
                <w:color w:val="1A1A1A"/>
                <w:lang w:eastAsia="ja-JP"/>
              </w:rPr>
              <w:t>students don’t know what they are supposed to look for or pay attention to.  The default is NOTHI</w:t>
            </w:r>
            <w:r>
              <w:rPr>
                <w:rFonts w:eastAsia="MS Mincho"/>
                <w:color w:val="1A1A1A"/>
                <w:lang w:eastAsia="ja-JP"/>
              </w:rPr>
              <w:t>NG.  So you can’t blame them if they stare out the window and think</w:t>
            </w:r>
            <w:r w:rsidRPr="00801D4B">
              <w:rPr>
                <w:rFonts w:eastAsia="MS Mincho"/>
                <w:color w:val="1A1A1A"/>
                <w:lang w:eastAsia="ja-JP"/>
              </w:rPr>
              <w:t xml:space="preserve"> about lunch.</w:t>
            </w:r>
          </w:p>
        </w:tc>
        <w:tc>
          <w:tcPr>
            <w:tcW w:w="3192" w:type="dxa"/>
          </w:tcPr>
          <w:p w14:paraId="5D2DEFC0" w14:textId="77777777" w:rsidR="00262CFC" w:rsidRDefault="00262CFC" w:rsidP="00262CFC">
            <w:r>
              <w:rPr>
                <w:b/>
              </w:rPr>
              <w:t>SO,</w:t>
            </w:r>
            <w:r w:rsidRPr="00CC6888">
              <w:rPr>
                <w:b/>
              </w:rPr>
              <w:t xml:space="preserve"> INSTEAD:</w:t>
            </w:r>
            <w:r>
              <w:rPr>
                <w:b/>
              </w:rPr>
              <w:t xml:space="preserve"> </w:t>
            </w:r>
            <w:r>
              <w:t>Clarify why you are reading this particular bit of text and what they are supposed to do while reading.  Either provide a question or ask them to generate their own questions about the text.</w:t>
            </w:r>
            <w:r>
              <w:rPr>
                <w:rStyle w:val="FootnoteReference"/>
              </w:rPr>
              <w:footnoteReference w:id="5"/>
            </w:r>
          </w:p>
          <w:p w14:paraId="46538BB1" w14:textId="77777777" w:rsidR="00262CFC" w:rsidRDefault="00262CFC" w:rsidP="00262CFC"/>
        </w:tc>
      </w:tr>
      <w:tr w:rsidR="00262CFC" w14:paraId="38377C75" w14:textId="77777777" w:rsidTr="00262CFC">
        <w:tc>
          <w:tcPr>
            <w:tcW w:w="3192" w:type="dxa"/>
          </w:tcPr>
          <w:p w14:paraId="68C091CD" w14:textId="77777777" w:rsidR="00262CFC" w:rsidRPr="00500152" w:rsidRDefault="00262CFC" w:rsidP="00262CFC">
            <w:pPr>
              <w:rPr>
                <w:b/>
              </w:rPr>
            </w:pPr>
            <w:r w:rsidRPr="00500152">
              <w:rPr>
                <w:b/>
              </w:rPr>
              <w:t>14. CLARIFY PARTNER WORK RULES.</w:t>
            </w:r>
          </w:p>
        </w:tc>
        <w:tc>
          <w:tcPr>
            <w:tcW w:w="3192" w:type="dxa"/>
          </w:tcPr>
          <w:p w14:paraId="3EA6647A" w14:textId="77777777" w:rsidR="00262CFC" w:rsidRDefault="00262CFC" w:rsidP="00262CFC"/>
        </w:tc>
        <w:tc>
          <w:tcPr>
            <w:tcW w:w="3192" w:type="dxa"/>
          </w:tcPr>
          <w:p w14:paraId="10697198" w14:textId="77777777" w:rsidR="00262CFC" w:rsidRDefault="00262CFC" w:rsidP="00262CFC"/>
        </w:tc>
      </w:tr>
      <w:tr w:rsidR="00262CFC" w14:paraId="317C18D4" w14:textId="77777777" w:rsidTr="00262CFC">
        <w:tc>
          <w:tcPr>
            <w:tcW w:w="3192" w:type="dxa"/>
          </w:tcPr>
          <w:p w14:paraId="43AE5CBC" w14:textId="77777777" w:rsidR="00262CFC" w:rsidRDefault="00262CFC" w:rsidP="00262CFC">
            <w:r w:rsidRPr="00B34A1E">
              <w:rPr>
                <w:b/>
              </w:rPr>
              <w:t>IF…</w:t>
            </w:r>
            <w:r>
              <w:t xml:space="preserve">You tell students to “read and work with a partner,” </w:t>
            </w:r>
          </w:p>
        </w:tc>
        <w:tc>
          <w:tcPr>
            <w:tcW w:w="3192" w:type="dxa"/>
          </w:tcPr>
          <w:p w14:paraId="13287609" w14:textId="77777777" w:rsidR="00262CFC" w:rsidRDefault="00262CFC" w:rsidP="00262CFC">
            <w:r w:rsidRPr="00B34A1E">
              <w:rPr>
                <w:b/>
              </w:rPr>
              <w:t>THEN…</w:t>
            </w:r>
            <w:r>
              <w:t>you will see a lot of chatting and no reading.  This is because students are unclear about their roles, so they wait for each other to take the lead, with the result that neither does.  It’s easier to chat.</w:t>
            </w:r>
          </w:p>
        </w:tc>
        <w:tc>
          <w:tcPr>
            <w:tcW w:w="3192" w:type="dxa"/>
          </w:tcPr>
          <w:p w14:paraId="1244F3AA" w14:textId="77777777" w:rsidR="00262CFC" w:rsidRDefault="00262CFC" w:rsidP="00262CFC">
            <w:r>
              <w:rPr>
                <w:b/>
              </w:rPr>
              <w:t>SO,</w:t>
            </w:r>
            <w:r w:rsidRPr="00CC6888">
              <w:rPr>
                <w:b/>
              </w:rPr>
              <w:t xml:space="preserve"> INSTEAD:</w:t>
            </w:r>
            <w:r>
              <w:rPr>
                <w:b/>
              </w:rPr>
              <w:t xml:space="preserve"> </w:t>
            </w:r>
            <w:r>
              <w:t xml:space="preserve">Clarify the role that each partner will play in the work: e.g., “Partner A will read aloud while Partner B will raise and record </w:t>
            </w:r>
            <w:r w:rsidR="00D652E4">
              <w:t xml:space="preserve">How and Why </w:t>
            </w:r>
            <w:r>
              <w:t>questions about this page.  On the next page, you will switch roles.  Partner B will read, and Partner A will surface the questions and write them down.”  Choose the partners ahead of time so that you are purposeful in the groups with respect to ability/personality, etc.</w:t>
            </w:r>
            <w:r>
              <w:rPr>
                <w:rStyle w:val="FootnoteReference"/>
              </w:rPr>
              <w:footnoteReference w:id="6"/>
            </w:r>
          </w:p>
          <w:p w14:paraId="7A4483AA" w14:textId="77777777" w:rsidR="00262CFC" w:rsidRDefault="00262CFC" w:rsidP="00262CFC">
            <w:pPr>
              <w:spacing w:line="480" w:lineRule="auto"/>
            </w:pPr>
          </w:p>
        </w:tc>
      </w:tr>
      <w:tr w:rsidR="00262CFC" w14:paraId="7A8F4DE0" w14:textId="77777777" w:rsidTr="00262CFC">
        <w:tc>
          <w:tcPr>
            <w:tcW w:w="3192" w:type="dxa"/>
          </w:tcPr>
          <w:p w14:paraId="00D15177" w14:textId="77777777" w:rsidR="007C47CC" w:rsidRDefault="007C47CC" w:rsidP="00262CFC">
            <w:pPr>
              <w:rPr>
                <w:rFonts w:eastAsia="MS Mincho"/>
                <w:b/>
                <w:color w:val="1A1A1A"/>
                <w:lang w:eastAsia="ja-JP"/>
              </w:rPr>
            </w:pPr>
          </w:p>
          <w:p w14:paraId="792EEA8A" w14:textId="77777777" w:rsidR="00262CFC" w:rsidRPr="00500152" w:rsidRDefault="00262CFC" w:rsidP="00262CFC">
            <w:pPr>
              <w:rPr>
                <w:rFonts w:eastAsia="MS Mincho"/>
                <w:b/>
                <w:color w:val="1A1A1A"/>
                <w:lang w:eastAsia="ja-JP"/>
              </w:rPr>
            </w:pPr>
            <w:r w:rsidRPr="00500152">
              <w:rPr>
                <w:rFonts w:eastAsia="MS Mincho"/>
                <w:b/>
                <w:color w:val="1A1A1A"/>
                <w:lang w:eastAsia="ja-JP"/>
              </w:rPr>
              <w:t>15. MAKE STUDENTS PROVE YOUR ARGUMENTS.</w:t>
            </w:r>
          </w:p>
        </w:tc>
        <w:tc>
          <w:tcPr>
            <w:tcW w:w="3192" w:type="dxa"/>
          </w:tcPr>
          <w:p w14:paraId="17E8A5B3" w14:textId="77777777" w:rsidR="00262CFC" w:rsidRDefault="00262CFC" w:rsidP="00262CFC">
            <w:pPr>
              <w:rPr>
                <w:rFonts w:eastAsia="MS Mincho"/>
                <w:color w:val="1A1A1A"/>
                <w:lang w:eastAsia="ja-JP"/>
              </w:rPr>
            </w:pPr>
          </w:p>
        </w:tc>
        <w:tc>
          <w:tcPr>
            <w:tcW w:w="3192" w:type="dxa"/>
          </w:tcPr>
          <w:p w14:paraId="532982E4" w14:textId="77777777" w:rsidR="00262CFC" w:rsidRDefault="00262CFC" w:rsidP="00262CFC">
            <w:pPr>
              <w:rPr>
                <w:rFonts w:eastAsia="MS Mincho"/>
                <w:color w:val="1A1A1A"/>
                <w:lang w:eastAsia="ja-JP"/>
              </w:rPr>
            </w:pPr>
          </w:p>
        </w:tc>
      </w:tr>
      <w:tr w:rsidR="00262CFC" w14:paraId="759BEB98" w14:textId="77777777" w:rsidTr="00262CFC">
        <w:tc>
          <w:tcPr>
            <w:tcW w:w="3192" w:type="dxa"/>
          </w:tcPr>
          <w:p w14:paraId="66AB7D8A" w14:textId="77777777" w:rsidR="00262CFC" w:rsidRDefault="00262CFC" w:rsidP="00262CFC">
            <w:r w:rsidRPr="00B34A1E">
              <w:rPr>
                <w:b/>
              </w:rPr>
              <w:t>IF…</w:t>
            </w:r>
            <w:r>
              <w:rPr>
                <w:rFonts w:eastAsia="MS Mincho"/>
                <w:color w:val="1A1A1A"/>
                <w:lang w:eastAsia="ja-JP"/>
              </w:rPr>
              <w:t>You ask students to guess what word you’re thinking of (which you think they should know),</w:t>
            </w:r>
          </w:p>
        </w:tc>
        <w:tc>
          <w:tcPr>
            <w:tcW w:w="3192" w:type="dxa"/>
          </w:tcPr>
          <w:p w14:paraId="5BFBF804" w14:textId="77777777" w:rsidR="00262CFC" w:rsidRDefault="00262CFC" w:rsidP="00262CFC">
            <w:r w:rsidRPr="00B34A1E">
              <w:rPr>
                <w:b/>
              </w:rPr>
              <w:t>THEN…</w:t>
            </w:r>
            <w:r>
              <w:rPr>
                <w:rFonts w:eastAsia="MS Mincho"/>
                <w:color w:val="1A1A1A"/>
                <w:lang w:eastAsia="ja-JP"/>
              </w:rPr>
              <w:t>students will call out random guesses until you give them enough hints to say the right word.  Or they will say nothing because they don’t know what you’re talking about.</w:t>
            </w:r>
          </w:p>
        </w:tc>
        <w:tc>
          <w:tcPr>
            <w:tcW w:w="3192" w:type="dxa"/>
          </w:tcPr>
          <w:p w14:paraId="6C6685F8" w14:textId="77777777" w:rsidR="00262CFC" w:rsidRDefault="00262CFC" w:rsidP="00262CFC">
            <w:pPr>
              <w:rPr>
                <w:rFonts w:eastAsia="MS Mincho"/>
                <w:b/>
                <w:color w:val="1A1A1A"/>
                <w:lang w:eastAsia="ja-JP"/>
              </w:rPr>
            </w:pPr>
            <w:r>
              <w:rPr>
                <w:b/>
              </w:rPr>
              <w:t>SO,</w:t>
            </w:r>
            <w:r w:rsidRPr="00CC6888">
              <w:rPr>
                <w:b/>
              </w:rPr>
              <w:t xml:space="preserve"> INSTEAD:</w:t>
            </w:r>
            <w:r>
              <w:rPr>
                <w:b/>
              </w:rPr>
              <w:t xml:space="preserve"> </w:t>
            </w:r>
            <w:r>
              <w:rPr>
                <w:rFonts w:eastAsia="MS Mincho"/>
                <w:color w:val="1A1A1A"/>
                <w:lang w:eastAsia="ja-JP"/>
              </w:rPr>
              <w:t>S</w:t>
            </w:r>
            <w:r w:rsidRPr="00F333D4">
              <w:rPr>
                <w:rFonts w:eastAsia="MS Mincho"/>
                <w:color w:val="1A1A1A"/>
                <w:lang w:eastAsia="ja-JP"/>
              </w:rPr>
              <w:t>tay away from guessing games like</w:t>
            </w:r>
            <w:r>
              <w:rPr>
                <w:rFonts w:eastAsia="MS Mincho"/>
                <w:color w:val="1A1A1A"/>
                <w:lang w:eastAsia="ja-JP"/>
              </w:rPr>
              <w:t>,</w:t>
            </w:r>
            <w:r w:rsidRPr="00F333D4">
              <w:rPr>
                <w:rFonts w:eastAsia="MS Mincho"/>
                <w:color w:val="1A1A1A"/>
                <w:lang w:eastAsia="ja-JP"/>
              </w:rPr>
              <w:t xml:space="preserve"> “What word am I thinking of?”  Tell them the word, tell them that you think it’s important, and ask them why you think that.  Focus less on recall questions and more on using i</w:t>
            </w:r>
            <w:r>
              <w:rPr>
                <w:rFonts w:eastAsia="MS Mincho"/>
                <w:color w:val="1A1A1A"/>
                <w:lang w:eastAsia="ja-JP"/>
              </w:rPr>
              <w:t xml:space="preserve">nformation or </w:t>
            </w:r>
            <w:r w:rsidRPr="00F333D4">
              <w:rPr>
                <w:rFonts w:eastAsia="MS Mincho"/>
                <w:color w:val="1A1A1A"/>
                <w:lang w:eastAsia="ja-JP"/>
              </w:rPr>
              <w:t>clues to infer and explain.</w:t>
            </w:r>
          </w:p>
          <w:p w14:paraId="342E771A" w14:textId="77777777" w:rsidR="00262CFC" w:rsidRDefault="00262CFC" w:rsidP="00262CFC"/>
        </w:tc>
      </w:tr>
    </w:tbl>
    <w:p w14:paraId="79AA2D89" w14:textId="77777777" w:rsidR="00262CFC" w:rsidRDefault="00262CFC" w:rsidP="00262CFC">
      <w:pPr>
        <w:spacing w:line="480" w:lineRule="auto"/>
      </w:pPr>
    </w:p>
    <w:p w14:paraId="10A1E2C6" w14:textId="77777777" w:rsidR="00262CFC" w:rsidRPr="00691768" w:rsidRDefault="00262CFC" w:rsidP="00262CFC">
      <w:pPr>
        <w:spacing w:line="480" w:lineRule="auto"/>
        <w:rPr>
          <w:b/>
          <w:u w:val="single"/>
        </w:rPr>
      </w:pPr>
      <w:r w:rsidRPr="00691768">
        <w:rPr>
          <w:b/>
          <w:u w:val="single"/>
        </w:rPr>
        <w:t>Encourage Risk-taking</w:t>
      </w:r>
    </w:p>
    <w:tbl>
      <w:tblPr>
        <w:tblStyle w:val="TableGrid"/>
        <w:tblW w:w="0" w:type="auto"/>
        <w:tblLook w:val="04A0" w:firstRow="1" w:lastRow="0" w:firstColumn="1" w:lastColumn="0" w:noHBand="0" w:noVBand="1"/>
      </w:tblPr>
      <w:tblGrid>
        <w:gridCol w:w="2936"/>
        <w:gridCol w:w="3002"/>
        <w:gridCol w:w="2918"/>
      </w:tblGrid>
      <w:tr w:rsidR="00262CFC" w14:paraId="6C01AA1D" w14:textId="77777777" w:rsidTr="00D652E4">
        <w:tc>
          <w:tcPr>
            <w:tcW w:w="2936" w:type="dxa"/>
          </w:tcPr>
          <w:p w14:paraId="2D857F1A" w14:textId="77777777" w:rsidR="00262CFC" w:rsidRPr="00500152" w:rsidRDefault="00262CFC" w:rsidP="00262CFC">
            <w:pPr>
              <w:rPr>
                <w:rFonts w:eastAsia="MS Mincho"/>
                <w:b/>
                <w:color w:val="1A1A1A"/>
                <w:lang w:eastAsia="ja-JP"/>
              </w:rPr>
            </w:pPr>
            <w:r w:rsidRPr="00500152">
              <w:rPr>
                <w:rFonts w:eastAsia="MS Mincho"/>
                <w:b/>
                <w:color w:val="1A1A1A"/>
                <w:lang w:eastAsia="ja-JP"/>
              </w:rPr>
              <w:t>16. USE ST</w:t>
            </w:r>
            <w:r>
              <w:rPr>
                <w:rFonts w:eastAsia="MS Mincho"/>
                <w:b/>
                <w:color w:val="1A1A1A"/>
                <w:lang w:eastAsia="ja-JP"/>
              </w:rPr>
              <w:t xml:space="preserve">OP AND </w:t>
            </w:r>
            <w:r w:rsidRPr="00500152">
              <w:rPr>
                <w:rFonts w:eastAsia="MS Mincho"/>
                <w:b/>
                <w:color w:val="1A1A1A"/>
                <w:lang w:eastAsia="ja-JP"/>
              </w:rPr>
              <w:t>JOT</w:t>
            </w:r>
            <w:r>
              <w:rPr>
                <w:rFonts w:eastAsia="MS Mincho"/>
                <w:b/>
                <w:color w:val="1A1A1A"/>
                <w:lang w:eastAsia="ja-JP"/>
              </w:rPr>
              <w:t xml:space="preserve"> OR TURN AND TALK</w:t>
            </w:r>
            <w:r>
              <w:rPr>
                <w:rStyle w:val="FootnoteReference"/>
                <w:rFonts w:eastAsia="MS Mincho"/>
                <w:b/>
                <w:color w:val="1A1A1A"/>
                <w:lang w:eastAsia="ja-JP"/>
              </w:rPr>
              <w:footnoteReference w:id="7"/>
            </w:r>
            <w:r w:rsidRPr="00500152">
              <w:rPr>
                <w:rFonts w:eastAsia="MS Mincho"/>
                <w:b/>
                <w:color w:val="1A1A1A"/>
                <w:lang w:eastAsia="ja-JP"/>
              </w:rPr>
              <w:t xml:space="preserve"> BEFORE COLD-CALLING.</w:t>
            </w:r>
            <w:r>
              <w:rPr>
                <w:rStyle w:val="FootnoteReference"/>
                <w:rFonts w:eastAsia="MS Mincho"/>
                <w:b/>
                <w:color w:val="1A1A1A"/>
                <w:lang w:eastAsia="ja-JP"/>
              </w:rPr>
              <w:footnoteReference w:id="8"/>
            </w:r>
          </w:p>
        </w:tc>
        <w:tc>
          <w:tcPr>
            <w:tcW w:w="3002" w:type="dxa"/>
          </w:tcPr>
          <w:p w14:paraId="7569D29F" w14:textId="77777777" w:rsidR="00262CFC" w:rsidRDefault="00262CFC" w:rsidP="00262CFC">
            <w:pPr>
              <w:rPr>
                <w:rFonts w:eastAsia="MS Mincho"/>
                <w:color w:val="1A1A1A"/>
                <w:lang w:eastAsia="ja-JP"/>
              </w:rPr>
            </w:pPr>
          </w:p>
        </w:tc>
        <w:tc>
          <w:tcPr>
            <w:tcW w:w="2918" w:type="dxa"/>
          </w:tcPr>
          <w:p w14:paraId="77C21738" w14:textId="77777777" w:rsidR="00262CFC" w:rsidRPr="00E707DB" w:rsidRDefault="00262CFC" w:rsidP="00262CFC">
            <w:pPr>
              <w:rPr>
                <w:rFonts w:eastAsia="MS Mincho"/>
                <w:color w:val="1A1A1A"/>
                <w:lang w:eastAsia="ja-JP"/>
              </w:rPr>
            </w:pPr>
          </w:p>
        </w:tc>
      </w:tr>
      <w:tr w:rsidR="00262CFC" w14:paraId="087B8206" w14:textId="77777777" w:rsidTr="00D652E4">
        <w:tc>
          <w:tcPr>
            <w:tcW w:w="2936" w:type="dxa"/>
          </w:tcPr>
          <w:p w14:paraId="16E81499" w14:textId="77777777" w:rsidR="00262CFC" w:rsidRDefault="00262CFC" w:rsidP="00262CFC">
            <w:r w:rsidRPr="00B34A1E">
              <w:rPr>
                <w:b/>
              </w:rPr>
              <w:t>IF…</w:t>
            </w:r>
            <w:r>
              <w:rPr>
                <w:rFonts w:eastAsia="MS Mincho"/>
                <w:color w:val="1A1A1A"/>
                <w:lang w:eastAsia="ja-JP"/>
              </w:rPr>
              <w:t xml:space="preserve">You cold-call without using stop and jot or turn and </w:t>
            </w:r>
            <w:r w:rsidRPr="00E707DB">
              <w:rPr>
                <w:rFonts w:eastAsia="MS Mincho"/>
                <w:color w:val="1A1A1A"/>
                <w:lang w:eastAsia="ja-JP"/>
              </w:rPr>
              <w:t xml:space="preserve">talk first, </w:t>
            </w:r>
          </w:p>
        </w:tc>
        <w:tc>
          <w:tcPr>
            <w:tcW w:w="3002" w:type="dxa"/>
          </w:tcPr>
          <w:p w14:paraId="606AE103" w14:textId="77777777" w:rsidR="00262CFC" w:rsidRDefault="00262CFC" w:rsidP="00262CFC">
            <w:r w:rsidRPr="00B34A1E">
              <w:rPr>
                <w:b/>
              </w:rPr>
              <w:t>THEN…</w:t>
            </w:r>
            <w:r>
              <w:rPr>
                <w:rFonts w:eastAsia="MS Mincho"/>
                <w:color w:val="1A1A1A"/>
                <w:lang w:eastAsia="ja-JP"/>
              </w:rPr>
              <w:t>students feel put on the spot</w:t>
            </w:r>
            <w:r w:rsidRPr="00E707DB">
              <w:rPr>
                <w:rFonts w:eastAsia="MS Mincho"/>
                <w:color w:val="1A1A1A"/>
                <w:lang w:eastAsia="ja-JP"/>
              </w:rPr>
              <w:t xml:space="preserve"> and are more inclined to opt out.</w:t>
            </w:r>
          </w:p>
        </w:tc>
        <w:tc>
          <w:tcPr>
            <w:tcW w:w="2918" w:type="dxa"/>
          </w:tcPr>
          <w:p w14:paraId="7F47091A" w14:textId="77777777" w:rsidR="00262CFC" w:rsidRDefault="00262CFC" w:rsidP="00262CFC">
            <w:pPr>
              <w:rPr>
                <w:rFonts w:eastAsia="MS Mincho"/>
                <w:color w:val="1A1A1A"/>
                <w:lang w:eastAsia="ja-JP"/>
              </w:rPr>
            </w:pPr>
            <w:r>
              <w:rPr>
                <w:b/>
              </w:rPr>
              <w:t>SO,</w:t>
            </w:r>
            <w:r w:rsidRPr="00CC6888">
              <w:rPr>
                <w:b/>
              </w:rPr>
              <w:t xml:space="preserve"> INSTEAD:</w:t>
            </w:r>
            <w:r>
              <w:rPr>
                <w:b/>
              </w:rPr>
              <w:t xml:space="preserve"> </w:t>
            </w:r>
            <w:r w:rsidRPr="00E707DB">
              <w:rPr>
                <w:rFonts w:eastAsia="MS Mincho"/>
                <w:color w:val="1A1A1A"/>
                <w:lang w:eastAsia="ja-JP"/>
              </w:rPr>
              <w:t>Give students a chance to think by writing something down and/or sharing with a partner before you cold-call.</w:t>
            </w:r>
          </w:p>
          <w:p w14:paraId="6335228E" w14:textId="77777777" w:rsidR="00262CFC" w:rsidRDefault="00262CFC" w:rsidP="00262CFC"/>
        </w:tc>
      </w:tr>
      <w:tr w:rsidR="00262CFC" w14:paraId="72F7AA62" w14:textId="77777777" w:rsidTr="00D652E4">
        <w:tc>
          <w:tcPr>
            <w:tcW w:w="2936" w:type="dxa"/>
          </w:tcPr>
          <w:p w14:paraId="0537CAE5" w14:textId="77777777" w:rsidR="007C47CC" w:rsidRDefault="007C47CC" w:rsidP="00262CFC">
            <w:pPr>
              <w:rPr>
                <w:rFonts w:eastAsia="MS Mincho"/>
                <w:b/>
                <w:color w:val="1A1A1A"/>
                <w:lang w:eastAsia="ja-JP"/>
              </w:rPr>
            </w:pPr>
          </w:p>
          <w:p w14:paraId="486F54D6" w14:textId="77777777" w:rsidR="007C47CC" w:rsidRDefault="007C47CC" w:rsidP="00262CFC">
            <w:pPr>
              <w:rPr>
                <w:rFonts w:eastAsia="MS Mincho"/>
                <w:b/>
                <w:color w:val="1A1A1A"/>
                <w:lang w:eastAsia="ja-JP"/>
              </w:rPr>
            </w:pPr>
          </w:p>
          <w:p w14:paraId="72165E92" w14:textId="77777777" w:rsidR="007C47CC" w:rsidRDefault="007C47CC" w:rsidP="00262CFC">
            <w:pPr>
              <w:rPr>
                <w:rFonts w:eastAsia="MS Mincho"/>
                <w:b/>
                <w:color w:val="1A1A1A"/>
                <w:lang w:eastAsia="ja-JP"/>
              </w:rPr>
            </w:pPr>
          </w:p>
          <w:p w14:paraId="5F36F628" w14:textId="77777777" w:rsidR="007C47CC" w:rsidRDefault="007C47CC" w:rsidP="00262CFC">
            <w:pPr>
              <w:rPr>
                <w:rFonts w:eastAsia="MS Mincho"/>
                <w:b/>
                <w:color w:val="1A1A1A"/>
                <w:lang w:eastAsia="ja-JP"/>
              </w:rPr>
            </w:pPr>
          </w:p>
          <w:p w14:paraId="5A8E44C1" w14:textId="77777777" w:rsidR="00262CFC" w:rsidRPr="00500152" w:rsidRDefault="00262CFC" w:rsidP="00262CFC">
            <w:pPr>
              <w:rPr>
                <w:rFonts w:eastAsia="MS Mincho"/>
                <w:b/>
                <w:color w:val="1A1A1A"/>
                <w:lang w:eastAsia="ja-JP"/>
              </w:rPr>
            </w:pPr>
            <w:r w:rsidRPr="00500152">
              <w:rPr>
                <w:rFonts w:eastAsia="MS Mincho"/>
                <w:b/>
                <w:color w:val="1A1A1A"/>
                <w:lang w:eastAsia="ja-JP"/>
              </w:rPr>
              <w:t xml:space="preserve">17. REMIND STUDENTS </w:t>
            </w:r>
            <w:r>
              <w:rPr>
                <w:rFonts w:eastAsia="MS Mincho"/>
                <w:b/>
                <w:color w:val="1A1A1A"/>
                <w:lang w:eastAsia="ja-JP"/>
              </w:rPr>
              <w:t>“</w:t>
            </w:r>
            <w:r w:rsidRPr="00500152">
              <w:rPr>
                <w:rFonts w:eastAsia="MS Mincho"/>
                <w:b/>
                <w:color w:val="1A1A1A"/>
                <w:lang w:eastAsia="ja-JP"/>
              </w:rPr>
              <w:t>THERE IS MORE THAN ONE RIGHT ANSWER.</w:t>
            </w:r>
            <w:r>
              <w:rPr>
                <w:rFonts w:eastAsia="MS Mincho"/>
                <w:b/>
                <w:color w:val="1A1A1A"/>
                <w:lang w:eastAsia="ja-JP"/>
              </w:rPr>
              <w:t>”</w:t>
            </w:r>
          </w:p>
        </w:tc>
        <w:tc>
          <w:tcPr>
            <w:tcW w:w="3002" w:type="dxa"/>
          </w:tcPr>
          <w:p w14:paraId="1EF0935B" w14:textId="77777777" w:rsidR="00262CFC" w:rsidRDefault="00262CFC" w:rsidP="00262CFC">
            <w:pPr>
              <w:rPr>
                <w:rFonts w:eastAsia="MS Mincho"/>
                <w:color w:val="1A1A1A"/>
                <w:lang w:eastAsia="ja-JP"/>
              </w:rPr>
            </w:pPr>
          </w:p>
        </w:tc>
        <w:tc>
          <w:tcPr>
            <w:tcW w:w="2918" w:type="dxa"/>
          </w:tcPr>
          <w:p w14:paraId="0E51CB79" w14:textId="77777777" w:rsidR="00262CFC" w:rsidRDefault="00262CFC" w:rsidP="00262CFC">
            <w:pPr>
              <w:rPr>
                <w:rFonts w:eastAsia="MS Mincho"/>
                <w:color w:val="1A1A1A"/>
                <w:lang w:eastAsia="ja-JP"/>
              </w:rPr>
            </w:pPr>
          </w:p>
        </w:tc>
      </w:tr>
      <w:tr w:rsidR="00262CFC" w14:paraId="105ADE90" w14:textId="77777777" w:rsidTr="00D652E4">
        <w:tc>
          <w:tcPr>
            <w:tcW w:w="2936" w:type="dxa"/>
          </w:tcPr>
          <w:p w14:paraId="2250721B" w14:textId="77777777" w:rsidR="00262CFC" w:rsidRDefault="00262CFC" w:rsidP="00262CFC">
            <w:r w:rsidRPr="00B34A1E">
              <w:rPr>
                <w:b/>
              </w:rPr>
              <w:t>IF…</w:t>
            </w:r>
            <w:r w:rsidRPr="001A3AC1">
              <w:rPr>
                <w:rFonts w:eastAsia="MS Mincho"/>
                <w:color w:val="1A1A1A"/>
                <w:lang w:eastAsia="ja-JP"/>
              </w:rPr>
              <w:t xml:space="preserve">You ask </w:t>
            </w:r>
            <w:r>
              <w:rPr>
                <w:rFonts w:eastAsia="MS Mincho"/>
                <w:color w:val="1A1A1A"/>
                <w:lang w:eastAsia="ja-JP"/>
              </w:rPr>
              <w:t xml:space="preserve">open-ended </w:t>
            </w:r>
            <w:r w:rsidRPr="001A3AC1">
              <w:rPr>
                <w:rFonts w:eastAsia="MS Mincho"/>
                <w:color w:val="1A1A1A"/>
                <w:lang w:eastAsia="ja-JP"/>
              </w:rPr>
              <w:t>questions</w:t>
            </w:r>
            <w:r>
              <w:rPr>
                <w:rFonts w:eastAsia="MS Mincho"/>
                <w:color w:val="1A1A1A"/>
                <w:lang w:eastAsia="ja-JP"/>
              </w:rPr>
              <w:t xml:space="preserve"> without adding, “There is more than one right answer,”</w:t>
            </w:r>
          </w:p>
        </w:tc>
        <w:tc>
          <w:tcPr>
            <w:tcW w:w="3002" w:type="dxa"/>
          </w:tcPr>
          <w:p w14:paraId="03363D12" w14:textId="77777777" w:rsidR="00262CFC" w:rsidRDefault="00262CFC" w:rsidP="00262CFC">
            <w:r w:rsidRPr="00B34A1E">
              <w:rPr>
                <w:b/>
              </w:rPr>
              <w:t>THEN…</w:t>
            </w:r>
            <w:r>
              <w:rPr>
                <w:rFonts w:eastAsia="MS Mincho"/>
                <w:color w:val="1A1A1A"/>
                <w:lang w:eastAsia="ja-JP"/>
              </w:rPr>
              <w:t>students might believe there is ONE right answer, and they don’t know it, so they will not take the risk of trying to answer.</w:t>
            </w:r>
          </w:p>
        </w:tc>
        <w:tc>
          <w:tcPr>
            <w:tcW w:w="2918" w:type="dxa"/>
          </w:tcPr>
          <w:p w14:paraId="52D1850C" w14:textId="77777777" w:rsidR="00262CFC" w:rsidRDefault="00262CFC" w:rsidP="00262CFC">
            <w:pPr>
              <w:rPr>
                <w:rFonts w:eastAsia="MS Mincho"/>
                <w:color w:val="1A1A1A"/>
                <w:lang w:eastAsia="ja-JP"/>
              </w:rPr>
            </w:pPr>
            <w:r>
              <w:rPr>
                <w:b/>
              </w:rPr>
              <w:t>SO,</w:t>
            </w:r>
            <w:r w:rsidRPr="00CC6888">
              <w:rPr>
                <w:b/>
              </w:rPr>
              <w:t xml:space="preserve"> INSTEAD:</w:t>
            </w:r>
            <w:r>
              <w:rPr>
                <w:b/>
              </w:rPr>
              <w:t xml:space="preserve"> </w:t>
            </w:r>
            <w:r>
              <w:rPr>
                <w:rFonts w:eastAsia="MS Mincho"/>
                <w:color w:val="1A1A1A"/>
                <w:lang w:eastAsia="ja-JP"/>
              </w:rPr>
              <w:t>Say,</w:t>
            </w:r>
            <w:r w:rsidRPr="00972433">
              <w:rPr>
                <w:rFonts w:eastAsia="MS Mincho"/>
                <w:color w:val="1A1A1A"/>
                <w:lang w:eastAsia="ja-JP"/>
              </w:rPr>
              <w:t xml:space="preserve"> “There is not one right answer” more often </w:t>
            </w:r>
            <w:r>
              <w:rPr>
                <w:rFonts w:eastAsia="MS Mincho"/>
                <w:color w:val="1A1A1A"/>
                <w:lang w:eastAsia="ja-JP"/>
              </w:rPr>
              <w:t xml:space="preserve">to </w:t>
            </w:r>
            <w:r w:rsidRPr="00972433">
              <w:rPr>
                <w:rFonts w:eastAsia="MS Mincho"/>
                <w:color w:val="1A1A1A"/>
                <w:lang w:eastAsia="ja-JP"/>
              </w:rPr>
              <w:t>invite students to take more risks and participate without fear of being wrong.</w:t>
            </w:r>
            <w:r>
              <w:rPr>
                <w:rStyle w:val="FootnoteReference"/>
                <w:rFonts w:eastAsia="MS Mincho"/>
                <w:color w:val="1A1A1A"/>
                <w:lang w:eastAsia="ja-JP"/>
              </w:rPr>
              <w:footnoteReference w:id="9"/>
            </w:r>
          </w:p>
          <w:p w14:paraId="4AEA0F54" w14:textId="77777777" w:rsidR="00262CFC" w:rsidRDefault="00262CFC" w:rsidP="00262CFC"/>
        </w:tc>
      </w:tr>
      <w:tr w:rsidR="00D652E4" w14:paraId="04ABB161" w14:textId="77777777" w:rsidTr="00D652E4">
        <w:tc>
          <w:tcPr>
            <w:tcW w:w="2936" w:type="dxa"/>
          </w:tcPr>
          <w:p w14:paraId="0918F403" w14:textId="77777777" w:rsidR="00D652E4" w:rsidRPr="00B34A1E" w:rsidRDefault="00D652E4" w:rsidP="00262CFC">
            <w:pPr>
              <w:rPr>
                <w:b/>
              </w:rPr>
            </w:pPr>
            <w:r>
              <w:rPr>
                <w:b/>
              </w:rPr>
              <w:t>18. DON’T INCENTIVIZE THE EASY WAY OUT.</w:t>
            </w:r>
          </w:p>
        </w:tc>
        <w:tc>
          <w:tcPr>
            <w:tcW w:w="3002" w:type="dxa"/>
          </w:tcPr>
          <w:p w14:paraId="1D55C553" w14:textId="77777777" w:rsidR="00D652E4" w:rsidRPr="00B34A1E" w:rsidRDefault="00D652E4" w:rsidP="00262CFC">
            <w:pPr>
              <w:rPr>
                <w:b/>
              </w:rPr>
            </w:pPr>
          </w:p>
        </w:tc>
        <w:tc>
          <w:tcPr>
            <w:tcW w:w="2918" w:type="dxa"/>
          </w:tcPr>
          <w:p w14:paraId="7E7FB766" w14:textId="77777777" w:rsidR="00D652E4" w:rsidRDefault="00D652E4" w:rsidP="00262CFC">
            <w:pPr>
              <w:rPr>
                <w:b/>
              </w:rPr>
            </w:pPr>
          </w:p>
        </w:tc>
      </w:tr>
      <w:tr w:rsidR="00D652E4" w14:paraId="62BE65DF" w14:textId="77777777" w:rsidTr="00D652E4">
        <w:tc>
          <w:tcPr>
            <w:tcW w:w="2936" w:type="dxa"/>
          </w:tcPr>
          <w:p w14:paraId="49C08A50" w14:textId="77777777" w:rsidR="00D652E4" w:rsidRPr="00E07571" w:rsidRDefault="00D652E4" w:rsidP="004A0DA7">
            <w:r w:rsidRPr="00B34A1E">
              <w:rPr>
                <w:b/>
              </w:rPr>
              <w:t>IF…</w:t>
            </w:r>
            <w:r>
              <w:t xml:space="preserve"> You ding students a point for every grammatical error in their writing,</w:t>
            </w:r>
          </w:p>
        </w:tc>
        <w:tc>
          <w:tcPr>
            <w:tcW w:w="3002" w:type="dxa"/>
          </w:tcPr>
          <w:p w14:paraId="7A87021D" w14:textId="77777777" w:rsidR="00D652E4" w:rsidRPr="00E07571" w:rsidRDefault="00D652E4" w:rsidP="004A0DA7">
            <w:r w:rsidRPr="00B34A1E">
              <w:rPr>
                <w:b/>
              </w:rPr>
              <w:t>THEN…</w:t>
            </w:r>
            <w:r>
              <w:t>students will avoid risking errors by writing simple/simplistic sentences instead of more complex ones that show critical thought.</w:t>
            </w:r>
          </w:p>
        </w:tc>
        <w:tc>
          <w:tcPr>
            <w:tcW w:w="2918" w:type="dxa"/>
          </w:tcPr>
          <w:p w14:paraId="286917AF" w14:textId="77777777" w:rsidR="00D652E4" w:rsidRPr="00E07571" w:rsidRDefault="00D652E4" w:rsidP="004A0DA7">
            <w:r w:rsidRPr="00E079D2">
              <w:rPr>
                <w:b/>
              </w:rPr>
              <w:t xml:space="preserve">SO, INSTEAD: </w:t>
            </w:r>
            <w:r w:rsidRPr="00E079D2">
              <w:t xml:space="preserve">Don’t do that.  </w:t>
            </w:r>
            <w:r>
              <w:t>Think about what kind of risk-taking you’re rewarding, such as attempting to write complex sentences.  Consider using a holistic score for grammar (e.g., “no errors, some errors, numerous errors”).</w:t>
            </w:r>
          </w:p>
        </w:tc>
      </w:tr>
    </w:tbl>
    <w:p w14:paraId="3D56F8EC" w14:textId="77777777" w:rsidR="00262CFC" w:rsidRDefault="00262CFC" w:rsidP="00262CFC">
      <w:pPr>
        <w:spacing w:line="480" w:lineRule="auto"/>
      </w:pPr>
    </w:p>
    <w:p w14:paraId="4C985890" w14:textId="77777777" w:rsidR="00406482" w:rsidRDefault="00406482">
      <w:bookmarkStart w:id="0" w:name="_GoBack"/>
      <w:bookmarkEnd w:id="0"/>
    </w:p>
    <w:sectPr w:rsidR="00406482" w:rsidSect="00406482">
      <w:headerReference w:type="even" r:id="rId7"/>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6F0DD" w14:textId="77777777" w:rsidR="00262CFC" w:rsidRDefault="00262CFC" w:rsidP="00406482">
      <w:r>
        <w:separator/>
      </w:r>
    </w:p>
  </w:endnote>
  <w:endnote w:type="continuationSeparator" w:id="0">
    <w:p w14:paraId="26D62050" w14:textId="77777777" w:rsidR="00262CFC" w:rsidRDefault="00262CFC" w:rsidP="0040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B9AE0" w14:textId="77777777" w:rsidR="00262CFC" w:rsidRPr="00262CFC" w:rsidRDefault="00262CFC">
    <w:pPr>
      <w:pStyle w:val="Footer"/>
      <w:rPr>
        <w:sz w:val="18"/>
        <w:szCs w:val="18"/>
      </w:rPr>
    </w:pPr>
    <w:r w:rsidRPr="00262CFC">
      <w:rPr>
        <w:sz w:val="18"/>
        <w:szCs w:val="18"/>
      </w:rPr>
      <w:t>©2018 by Sarah Tantillo, Ed.D., LLC @www.literacycookbook.com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A7C8F" w14:textId="77777777" w:rsidR="00262CFC" w:rsidRDefault="00262CFC" w:rsidP="00406482">
      <w:r>
        <w:separator/>
      </w:r>
    </w:p>
  </w:footnote>
  <w:footnote w:type="continuationSeparator" w:id="0">
    <w:p w14:paraId="594039CD" w14:textId="77777777" w:rsidR="00262CFC" w:rsidRDefault="00262CFC" w:rsidP="00406482">
      <w:r>
        <w:continuationSeparator/>
      </w:r>
    </w:p>
  </w:footnote>
  <w:footnote w:id="1">
    <w:p w14:paraId="7359A28D" w14:textId="77777777" w:rsidR="00262CFC" w:rsidRDefault="00262CFC" w:rsidP="00262CFC">
      <w:pPr>
        <w:pStyle w:val="FootnoteText"/>
      </w:pPr>
      <w:r>
        <w:rPr>
          <w:rStyle w:val="FootnoteReference"/>
        </w:rPr>
        <w:footnoteRef/>
      </w:r>
      <w:r>
        <w:t xml:space="preserve"> See Chapter 2, “Principle #2,” for an explanation of how to create RPM objectives.</w:t>
      </w:r>
    </w:p>
  </w:footnote>
  <w:footnote w:id="2">
    <w:p w14:paraId="50BDF235" w14:textId="77777777" w:rsidR="00262CFC" w:rsidRDefault="00262CFC" w:rsidP="00262CFC">
      <w:pPr>
        <w:pStyle w:val="FootnoteText"/>
      </w:pPr>
      <w:r>
        <w:rPr>
          <w:rStyle w:val="FootnoteReference"/>
        </w:rPr>
        <w:footnoteRef/>
      </w:r>
      <w:r>
        <w:t xml:space="preserve"> Doug Lemov, </w:t>
      </w:r>
      <w:r w:rsidRPr="007540F5">
        <w:rPr>
          <w:i/>
        </w:rPr>
        <w:t>Teach Like a Champion 2.0: 62 Techniques That Put Students on the Path to College</w:t>
      </w:r>
      <w:r>
        <w:t xml:space="preserve"> (San Francisco: Jossey-Bass, 2015).  For a detailed description of “Turn and Talk,” see 324-335.</w:t>
      </w:r>
    </w:p>
  </w:footnote>
  <w:footnote w:id="3">
    <w:p w14:paraId="2201C62E" w14:textId="77777777" w:rsidR="00262CFC" w:rsidRDefault="00262CFC" w:rsidP="00262CFC">
      <w:pPr>
        <w:pStyle w:val="FootnoteText"/>
      </w:pPr>
      <w:r>
        <w:rPr>
          <w:rStyle w:val="FootnoteReference"/>
        </w:rPr>
        <w:footnoteRef/>
      </w:r>
      <w:r>
        <w:t xml:space="preserve"> Doug Lemov, </w:t>
      </w:r>
      <w:r w:rsidRPr="007540F5">
        <w:rPr>
          <w:i/>
        </w:rPr>
        <w:t>Teach Like a Champion 2.0: 62 Techniques That Put Students on the Path to College</w:t>
      </w:r>
      <w:r>
        <w:t xml:space="preserve"> (San Francisco: Jossey-Bass, 2015).  For a detailed description of “Cold Call,” see 249-262.</w:t>
      </w:r>
    </w:p>
  </w:footnote>
  <w:footnote w:id="4">
    <w:p w14:paraId="391C8DE8" w14:textId="77777777" w:rsidR="00262CFC" w:rsidRDefault="00262CFC" w:rsidP="00262CFC">
      <w:pPr>
        <w:pStyle w:val="FootnoteText"/>
      </w:pPr>
      <w:r>
        <w:rPr>
          <w:rStyle w:val="FootnoteReference"/>
        </w:rPr>
        <w:footnoteRef/>
      </w:r>
      <w:r>
        <w:t xml:space="preserve"> For more guidance on training students to ask their own questions, see Sarah Tantillo, </w:t>
      </w:r>
      <w:r w:rsidRPr="003B5054">
        <w:rPr>
          <w:i/>
        </w:rPr>
        <w:t>Literacy and the Common Core: Recipes for Action</w:t>
      </w:r>
      <w:r>
        <w:t xml:space="preserve"> (San Francisco: Jossey-Bass, 2014), 115-127.</w:t>
      </w:r>
    </w:p>
  </w:footnote>
  <w:footnote w:id="5">
    <w:p w14:paraId="177CC3CB" w14:textId="77777777" w:rsidR="00262CFC" w:rsidRDefault="00262CFC" w:rsidP="00262CFC">
      <w:pPr>
        <w:pStyle w:val="FootnoteText"/>
      </w:pPr>
      <w:r>
        <w:rPr>
          <w:rStyle w:val="FootnoteReference"/>
        </w:rPr>
        <w:footnoteRef/>
      </w:r>
      <w:r>
        <w:t xml:space="preserve"> For more thoughts on teaching students how to set a purpose for reading, see Chapter 4, “Genre, Audience, and Tone.”</w:t>
      </w:r>
    </w:p>
  </w:footnote>
  <w:footnote w:id="6">
    <w:p w14:paraId="286FF34D" w14:textId="77777777" w:rsidR="00262CFC" w:rsidRDefault="00262CFC" w:rsidP="00262CFC">
      <w:pPr>
        <w:pStyle w:val="FootnoteText"/>
      </w:pPr>
      <w:r>
        <w:rPr>
          <w:rStyle w:val="FootnoteReference"/>
        </w:rPr>
        <w:footnoteRef/>
      </w:r>
      <w:r>
        <w:t xml:space="preserve"> For more guidance on shared reading, see my MiddleWeb blog post “Shared Reading Needs to Have a Clear Purpose,” Jan. 8, 2018, found at </w:t>
      </w:r>
      <w:hyperlink r:id="rId1" w:history="1">
        <w:r w:rsidRPr="00E53AF1">
          <w:rPr>
            <w:rStyle w:val="Hyperlink"/>
          </w:rPr>
          <w:t>https://www.middleweb.com/36699/shared-reading-needs-to-have-a-clear-purpose/</w:t>
        </w:r>
      </w:hyperlink>
    </w:p>
  </w:footnote>
  <w:footnote w:id="7">
    <w:p w14:paraId="69D59F6C" w14:textId="77777777" w:rsidR="00262CFC" w:rsidRDefault="00262CFC" w:rsidP="00262CFC">
      <w:pPr>
        <w:pStyle w:val="FootnoteText"/>
      </w:pPr>
      <w:r>
        <w:rPr>
          <w:rStyle w:val="FootnoteReference"/>
        </w:rPr>
        <w:footnoteRef/>
      </w:r>
      <w:r>
        <w:t xml:space="preserve"> Doug Lemov, </w:t>
      </w:r>
      <w:r w:rsidRPr="007540F5">
        <w:rPr>
          <w:i/>
        </w:rPr>
        <w:t>Teach Like a Champion 2.0: 62 Techniques That Put Students on the Path to College</w:t>
      </w:r>
      <w:r>
        <w:t xml:space="preserve"> (San Francisco: Jossey-Bass, 2015).  For a detailed description of “Turn and Talk,” see 324-335.</w:t>
      </w:r>
    </w:p>
  </w:footnote>
  <w:footnote w:id="8">
    <w:p w14:paraId="4351D2E4" w14:textId="77777777" w:rsidR="00262CFC" w:rsidRDefault="00262CFC" w:rsidP="00262CFC">
      <w:pPr>
        <w:pStyle w:val="FootnoteText"/>
      </w:pPr>
      <w:r>
        <w:rPr>
          <w:rStyle w:val="FootnoteReference"/>
        </w:rPr>
        <w:footnoteRef/>
      </w:r>
      <w:r>
        <w:t xml:space="preserve"> Doug Lemov, </w:t>
      </w:r>
      <w:r w:rsidRPr="007540F5">
        <w:rPr>
          <w:i/>
        </w:rPr>
        <w:t>Teach Like a Champion 2.0: 62 Techniques That Put Students on the Path to College</w:t>
      </w:r>
      <w:r>
        <w:t xml:space="preserve"> (San Francisco: Jossey-Bass, 2015).  For a detailed description of “Cold Call,” see 249-262.</w:t>
      </w:r>
    </w:p>
  </w:footnote>
  <w:footnote w:id="9">
    <w:p w14:paraId="35145ACE" w14:textId="77777777" w:rsidR="00262CFC" w:rsidRDefault="00262CFC" w:rsidP="00262CFC">
      <w:pPr>
        <w:pStyle w:val="FootnoteText"/>
      </w:pPr>
      <w:r>
        <w:rPr>
          <w:rStyle w:val="FootnoteReference"/>
        </w:rPr>
        <w:footnoteRef/>
      </w:r>
      <w:r>
        <w:t xml:space="preserve"> For more thoughts on teaching students to embrace learning from mistakes, see Doug Lemov, </w:t>
      </w:r>
      <w:r w:rsidRPr="007540F5">
        <w:rPr>
          <w:i/>
        </w:rPr>
        <w:t>Teach Like a Champion 2.0: 62 Techniques That Put Students on the Path to College</w:t>
      </w:r>
      <w:r>
        <w:t xml:space="preserve"> (San Francisco: Jossey-Bass, 2015).  For a detailed description of “Building a Culture of Error,” see 64-72.  See also Carol Dweck’s explanation of fixed vs. growth mindset in </w:t>
      </w:r>
      <w:r w:rsidRPr="00EA1014">
        <w:rPr>
          <w:i/>
        </w:rPr>
        <w:t>Mindset: The New Psychology of Success</w:t>
      </w:r>
      <w:r>
        <w:t xml:space="preserve"> (New York: Random House, 2006).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BBA65" w14:textId="77777777" w:rsidR="007C47CC" w:rsidRDefault="007C47CC" w:rsidP="00B37A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A8026" w14:textId="77777777" w:rsidR="007C47CC" w:rsidRDefault="007C47CC" w:rsidP="007C47C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172A7" w14:textId="77777777" w:rsidR="007C47CC" w:rsidRDefault="007C47CC" w:rsidP="00B37A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52E4">
      <w:rPr>
        <w:rStyle w:val="PageNumber"/>
        <w:noProof/>
      </w:rPr>
      <w:t>1</w:t>
    </w:r>
    <w:r>
      <w:rPr>
        <w:rStyle w:val="PageNumber"/>
      </w:rPr>
      <w:fldChar w:fldCharType="end"/>
    </w:r>
  </w:p>
  <w:p w14:paraId="51D81D53" w14:textId="77777777" w:rsidR="007C47CC" w:rsidRDefault="007C47CC" w:rsidP="007C47C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482"/>
    <w:rsid w:val="00000BFC"/>
    <w:rsid w:val="000010B2"/>
    <w:rsid w:val="00004B52"/>
    <w:rsid w:val="00006D37"/>
    <w:rsid w:val="000077FF"/>
    <w:rsid w:val="0000793C"/>
    <w:rsid w:val="00013E82"/>
    <w:rsid w:val="00014412"/>
    <w:rsid w:val="0002016D"/>
    <w:rsid w:val="00020349"/>
    <w:rsid w:val="00021498"/>
    <w:rsid w:val="00022AE2"/>
    <w:rsid w:val="00023F36"/>
    <w:rsid w:val="000253E5"/>
    <w:rsid w:val="0002586B"/>
    <w:rsid w:val="00027F42"/>
    <w:rsid w:val="00030246"/>
    <w:rsid w:val="00032FE2"/>
    <w:rsid w:val="000352E5"/>
    <w:rsid w:val="000375A9"/>
    <w:rsid w:val="00037822"/>
    <w:rsid w:val="000421A6"/>
    <w:rsid w:val="00042647"/>
    <w:rsid w:val="00043A24"/>
    <w:rsid w:val="000458FD"/>
    <w:rsid w:val="00047E45"/>
    <w:rsid w:val="000506C0"/>
    <w:rsid w:val="000622A9"/>
    <w:rsid w:val="00063611"/>
    <w:rsid w:val="0006367D"/>
    <w:rsid w:val="00064EB0"/>
    <w:rsid w:val="000654A5"/>
    <w:rsid w:val="00066F11"/>
    <w:rsid w:val="000673AD"/>
    <w:rsid w:val="00067E89"/>
    <w:rsid w:val="00071F8F"/>
    <w:rsid w:val="00072AF4"/>
    <w:rsid w:val="0008205F"/>
    <w:rsid w:val="00083D25"/>
    <w:rsid w:val="0008743A"/>
    <w:rsid w:val="00091875"/>
    <w:rsid w:val="00091BB1"/>
    <w:rsid w:val="0009396E"/>
    <w:rsid w:val="000949D6"/>
    <w:rsid w:val="00094FCC"/>
    <w:rsid w:val="00095758"/>
    <w:rsid w:val="00097296"/>
    <w:rsid w:val="000A3A67"/>
    <w:rsid w:val="000A507E"/>
    <w:rsid w:val="000A5C55"/>
    <w:rsid w:val="000A5FA1"/>
    <w:rsid w:val="000B0D36"/>
    <w:rsid w:val="000B1869"/>
    <w:rsid w:val="000B3806"/>
    <w:rsid w:val="000B630B"/>
    <w:rsid w:val="000C0248"/>
    <w:rsid w:val="000C08DF"/>
    <w:rsid w:val="000C08F1"/>
    <w:rsid w:val="000C2A22"/>
    <w:rsid w:val="000C4E19"/>
    <w:rsid w:val="000C7561"/>
    <w:rsid w:val="000D10D6"/>
    <w:rsid w:val="000D2834"/>
    <w:rsid w:val="000D6D11"/>
    <w:rsid w:val="000D732D"/>
    <w:rsid w:val="000E2B37"/>
    <w:rsid w:val="000E3BDC"/>
    <w:rsid w:val="000E5135"/>
    <w:rsid w:val="000E6BA7"/>
    <w:rsid w:val="000F2417"/>
    <w:rsid w:val="000F2F50"/>
    <w:rsid w:val="000F4DCF"/>
    <w:rsid w:val="000F5462"/>
    <w:rsid w:val="000F72E9"/>
    <w:rsid w:val="001005E9"/>
    <w:rsid w:val="001020A4"/>
    <w:rsid w:val="0010334A"/>
    <w:rsid w:val="00104464"/>
    <w:rsid w:val="00106A32"/>
    <w:rsid w:val="0011014D"/>
    <w:rsid w:val="001110E6"/>
    <w:rsid w:val="001126B2"/>
    <w:rsid w:val="001136FD"/>
    <w:rsid w:val="00116277"/>
    <w:rsid w:val="00116660"/>
    <w:rsid w:val="00125368"/>
    <w:rsid w:val="001257CF"/>
    <w:rsid w:val="00126E28"/>
    <w:rsid w:val="0012705C"/>
    <w:rsid w:val="00130669"/>
    <w:rsid w:val="001371FE"/>
    <w:rsid w:val="00140EE0"/>
    <w:rsid w:val="001436E7"/>
    <w:rsid w:val="00152DF1"/>
    <w:rsid w:val="001532F6"/>
    <w:rsid w:val="00155912"/>
    <w:rsid w:val="0015684D"/>
    <w:rsid w:val="001617B2"/>
    <w:rsid w:val="0016360A"/>
    <w:rsid w:val="00164772"/>
    <w:rsid w:val="001647F5"/>
    <w:rsid w:val="0016690F"/>
    <w:rsid w:val="00166F2C"/>
    <w:rsid w:val="00167506"/>
    <w:rsid w:val="00170326"/>
    <w:rsid w:val="0017118C"/>
    <w:rsid w:val="0017151C"/>
    <w:rsid w:val="0017209F"/>
    <w:rsid w:val="00172D83"/>
    <w:rsid w:val="001746BD"/>
    <w:rsid w:val="00174DE9"/>
    <w:rsid w:val="00177E62"/>
    <w:rsid w:val="00184369"/>
    <w:rsid w:val="00185687"/>
    <w:rsid w:val="00186579"/>
    <w:rsid w:val="00187A7C"/>
    <w:rsid w:val="001918BE"/>
    <w:rsid w:val="00191E2D"/>
    <w:rsid w:val="00192206"/>
    <w:rsid w:val="00192474"/>
    <w:rsid w:val="001941D3"/>
    <w:rsid w:val="00195F27"/>
    <w:rsid w:val="001A00B9"/>
    <w:rsid w:val="001A0AE5"/>
    <w:rsid w:val="001A1E86"/>
    <w:rsid w:val="001A4500"/>
    <w:rsid w:val="001A5053"/>
    <w:rsid w:val="001A7C51"/>
    <w:rsid w:val="001B05D7"/>
    <w:rsid w:val="001B1A01"/>
    <w:rsid w:val="001B1C88"/>
    <w:rsid w:val="001B28E8"/>
    <w:rsid w:val="001B444B"/>
    <w:rsid w:val="001B6A2B"/>
    <w:rsid w:val="001B7793"/>
    <w:rsid w:val="001C00E2"/>
    <w:rsid w:val="001C578E"/>
    <w:rsid w:val="001C5B11"/>
    <w:rsid w:val="001C6604"/>
    <w:rsid w:val="001C6CAA"/>
    <w:rsid w:val="001C6F64"/>
    <w:rsid w:val="001C7D35"/>
    <w:rsid w:val="001D1596"/>
    <w:rsid w:val="001D2175"/>
    <w:rsid w:val="001D2C5D"/>
    <w:rsid w:val="001D2D80"/>
    <w:rsid w:val="001D3B00"/>
    <w:rsid w:val="001D4689"/>
    <w:rsid w:val="001D48BF"/>
    <w:rsid w:val="001E1065"/>
    <w:rsid w:val="001E1D06"/>
    <w:rsid w:val="001E65D1"/>
    <w:rsid w:val="001F1049"/>
    <w:rsid w:val="001F1096"/>
    <w:rsid w:val="001F1F48"/>
    <w:rsid w:val="001F2DFB"/>
    <w:rsid w:val="001F3199"/>
    <w:rsid w:val="001F415C"/>
    <w:rsid w:val="001F4B08"/>
    <w:rsid w:val="001F5F11"/>
    <w:rsid w:val="00201E83"/>
    <w:rsid w:val="002035E1"/>
    <w:rsid w:val="002039EB"/>
    <w:rsid w:val="0020796F"/>
    <w:rsid w:val="00207E79"/>
    <w:rsid w:val="002108C8"/>
    <w:rsid w:val="00210ED4"/>
    <w:rsid w:val="002118C6"/>
    <w:rsid w:val="002121BB"/>
    <w:rsid w:val="0021294B"/>
    <w:rsid w:val="00214EAB"/>
    <w:rsid w:val="002153E0"/>
    <w:rsid w:val="00216187"/>
    <w:rsid w:val="00220AAF"/>
    <w:rsid w:val="00222999"/>
    <w:rsid w:val="00222A2F"/>
    <w:rsid w:val="00223200"/>
    <w:rsid w:val="002238D0"/>
    <w:rsid w:val="002251F7"/>
    <w:rsid w:val="0022528E"/>
    <w:rsid w:val="00225C44"/>
    <w:rsid w:val="0022710F"/>
    <w:rsid w:val="00227AD4"/>
    <w:rsid w:val="00231404"/>
    <w:rsid w:val="002324A0"/>
    <w:rsid w:val="00233E4C"/>
    <w:rsid w:val="00234F14"/>
    <w:rsid w:val="00235ECC"/>
    <w:rsid w:val="00236A63"/>
    <w:rsid w:val="00241489"/>
    <w:rsid w:val="00242629"/>
    <w:rsid w:val="00242DB8"/>
    <w:rsid w:val="0024465E"/>
    <w:rsid w:val="00246360"/>
    <w:rsid w:val="00247234"/>
    <w:rsid w:val="002479EA"/>
    <w:rsid w:val="00247C40"/>
    <w:rsid w:val="002506B6"/>
    <w:rsid w:val="002553AC"/>
    <w:rsid w:val="00262188"/>
    <w:rsid w:val="00262CFC"/>
    <w:rsid w:val="002646F2"/>
    <w:rsid w:val="00264F15"/>
    <w:rsid w:val="00266CBC"/>
    <w:rsid w:val="00270547"/>
    <w:rsid w:val="00272EC4"/>
    <w:rsid w:val="00277790"/>
    <w:rsid w:val="002811B8"/>
    <w:rsid w:val="002830C0"/>
    <w:rsid w:val="00283C70"/>
    <w:rsid w:val="002963E7"/>
    <w:rsid w:val="002A23D2"/>
    <w:rsid w:val="002A418C"/>
    <w:rsid w:val="002A783D"/>
    <w:rsid w:val="002B07D6"/>
    <w:rsid w:val="002B14D6"/>
    <w:rsid w:val="002B1DC6"/>
    <w:rsid w:val="002B349B"/>
    <w:rsid w:val="002B42A2"/>
    <w:rsid w:val="002B5892"/>
    <w:rsid w:val="002B7428"/>
    <w:rsid w:val="002C0240"/>
    <w:rsid w:val="002C0D72"/>
    <w:rsid w:val="002C7385"/>
    <w:rsid w:val="002C767F"/>
    <w:rsid w:val="002D47B5"/>
    <w:rsid w:val="002D4AC7"/>
    <w:rsid w:val="002D773B"/>
    <w:rsid w:val="002D7DEA"/>
    <w:rsid w:val="002E0834"/>
    <w:rsid w:val="002E1C7F"/>
    <w:rsid w:val="002E2CF4"/>
    <w:rsid w:val="002E2F59"/>
    <w:rsid w:val="002E485B"/>
    <w:rsid w:val="002E4BEE"/>
    <w:rsid w:val="002E5121"/>
    <w:rsid w:val="002E7B07"/>
    <w:rsid w:val="002F04DC"/>
    <w:rsid w:val="002F0F9E"/>
    <w:rsid w:val="002F26E1"/>
    <w:rsid w:val="002F2C92"/>
    <w:rsid w:val="002F340C"/>
    <w:rsid w:val="002F519D"/>
    <w:rsid w:val="002F6004"/>
    <w:rsid w:val="00305840"/>
    <w:rsid w:val="00313D31"/>
    <w:rsid w:val="00321008"/>
    <w:rsid w:val="003220A4"/>
    <w:rsid w:val="00323E41"/>
    <w:rsid w:val="003271AD"/>
    <w:rsid w:val="00327C32"/>
    <w:rsid w:val="003300F0"/>
    <w:rsid w:val="00334E19"/>
    <w:rsid w:val="003355E1"/>
    <w:rsid w:val="00336375"/>
    <w:rsid w:val="00337D6D"/>
    <w:rsid w:val="0034200F"/>
    <w:rsid w:val="00345B23"/>
    <w:rsid w:val="00347FE4"/>
    <w:rsid w:val="00350F43"/>
    <w:rsid w:val="00351B55"/>
    <w:rsid w:val="00352916"/>
    <w:rsid w:val="00353C4F"/>
    <w:rsid w:val="00354479"/>
    <w:rsid w:val="0035636D"/>
    <w:rsid w:val="00356B15"/>
    <w:rsid w:val="0036048D"/>
    <w:rsid w:val="003607E4"/>
    <w:rsid w:val="00363346"/>
    <w:rsid w:val="0036389A"/>
    <w:rsid w:val="00364390"/>
    <w:rsid w:val="00364865"/>
    <w:rsid w:val="00364FC0"/>
    <w:rsid w:val="00365E31"/>
    <w:rsid w:val="003709CA"/>
    <w:rsid w:val="0037184C"/>
    <w:rsid w:val="003735CD"/>
    <w:rsid w:val="00380B1B"/>
    <w:rsid w:val="003840C3"/>
    <w:rsid w:val="00386FB7"/>
    <w:rsid w:val="00391753"/>
    <w:rsid w:val="00391BAD"/>
    <w:rsid w:val="00393508"/>
    <w:rsid w:val="00394929"/>
    <w:rsid w:val="0039597D"/>
    <w:rsid w:val="00397A97"/>
    <w:rsid w:val="003A0157"/>
    <w:rsid w:val="003A2563"/>
    <w:rsid w:val="003A331F"/>
    <w:rsid w:val="003A76AD"/>
    <w:rsid w:val="003A7D00"/>
    <w:rsid w:val="003B0584"/>
    <w:rsid w:val="003B1ED4"/>
    <w:rsid w:val="003B2C4F"/>
    <w:rsid w:val="003B32AA"/>
    <w:rsid w:val="003B33D0"/>
    <w:rsid w:val="003B3FA1"/>
    <w:rsid w:val="003B46E6"/>
    <w:rsid w:val="003B491A"/>
    <w:rsid w:val="003B6598"/>
    <w:rsid w:val="003B6D30"/>
    <w:rsid w:val="003B7EA0"/>
    <w:rsid w:val="003C08AF"/>
    <w:rsid w:val="003C2220"/>
    <w:rsid w:val="003C4538"/>
    <w:rsid w:val="003C64B6"/>
    <w:rsid w:val="003C7CD2"/>
    <w:rsid w:val="003D15F4"/>
    <w:rsid w:val="003D1B63"/>
    <w:rsid w:val="003D485E"/>
    <w:rsid w:val="003D4EE3"/>
    <w:rsid w:val="003D549B"/>
    <w:rsid w:val="003D7152"/>
    <w:rsid w:val="003E0E1B"/>
    <w:rsid w:val="003E2AB8"/>
    <w:rsid w:val="003E377B"/>
    <w:rsid w:val="003E41BC"/>
    <w:rsid w:val="003E5E0B"/>
    <w:rsid w:val="003E68D3"/>
    <w:rsid w:val="003E6AF5"/>
    <w:rsid w:val="003E7CC9"/>
    <w:rsid w:val="003F0029"/>
    <w:rsid w:val="003F13AE"/>
    <w:rsid w:val="003F2A53"/>
    <w:rsid w:val="003F3171"/>
    <w:rsid w:val="003F460F"/>
    <w:rsid w:val="003F5BA4"/>
    <w:rsid w:val="003F61EA"/>
    <w:rsid w:val="003F6631"/>
    <w:rsid w:val="003F6A56"/>
    <w:rsid w:val="003F7EC2"/>
    <w:rsid w:val="004021D9"/>
    <w:rsid w:val="004038D2"/>
    <w:rsid w:val="004047C5"/>
    <w:rsid w:val="00406130"/>
    <w:rsid w:val="00406482"/>
    <w:rsid w:val="00406D30"/>
    <w:rsid w:val="004117EB"/>
    <w:rsid w:val="00411C8D"/>
    <w:rsid w:val="00413658"/>
    <w:rsid w:val="0041372E"/>
    <w:rsid w:val="00413A8B"/>
    <w:rsid w:val="0042000C"/>
    <w:rsid w:val="00420C23"/>
    <w:rsid w:val="00422C25"/>
    <w:rsid w:val="0042494A"/>
    <w:rsid w:val="004253F6"/>
    <w:rsid w:val="004261EC"/>
    <w:rsid w:val="00426255"/>
    <w:rsid w:val="004264B9"/>
    <w:rsid w:val="004269FA"/>
    <w:rsid w:val="00430680"/>
    <w:rsid w:val="00430971"/>
    <w:rsid w:val="00431C72"/>
    <w:rsid w:val="00433928"/>
    <w:rsid w:val="00434066"/>
    <w:rsid w:val="00434461"/>
    <w:rsid w:val="00434B90"/>
    <w:rsid w:val="00435C5A"/>
    <w:rsid w:val="00435F41"/>
    <w:rsid w:val="0043614D"/>
    <w:rsid w:val="00436626"/>
    <w:rsid w:val="00440F16"/>
    <w:rsid w:val="00441BC4"/>
    <w:rsid w:val="00444270"/>
    <w:rsid w:val="0044515B"/>
    <w:rsid w:val="00445BD9"/>
    <w:rsid w:val="004537A0"/>
    <w:rsid w:val="00453E4E"/>
    <w:rsid w:val="004547AD"/>
    <w:rsid w:val="00454B42"/>
    <w:rsid w:val="00461A95"/>
    <w:rsid w:val="00461AEE"/>
    <w:rsid w:val="00462CAF"/>
    <w:rsid w:val="00463391"/>
    <w:rsid w:val="00466323"/>
    <w:rsid w:val="00466C54"/>
    <w:rsid w:val="00467083"/>
    <w:rsid w:val="00467A42"/>
    <w:rsid w:val="004723FF"/>
    <w:rsid w:val="00472FC6"/>
    <w:rsid w:val="004745AF"/>
    <w:rsid w:val="004753C1"/>
    <w:rsid w:val="0047704A"/>
    <w:rsid w:val="004859C2"/>
    <w:rsid w:val="00485D33"/>
    <w:rsid w:val="00490D4C"/>
    <w:rsid w:val="004A5DC7"/>
    <w:rsid w:val="004B05CC"/>
    <w:rsid w:val="004B05E3"/>
    <w:rsid w:val="004B1A44"/>
    <w:rsid w:val="004B429E"/>
    <w:rsid w:val="004B6A5B"/>
    <w:rsid w:val="004B6ABB"/>
    <w:rsid w:val="004B7757"/>
    <w:rsid w:val="004B7B98"/>
    <w:rsid w:val="004B7ED8"/>
    <w:rsid w:val="004C02CB"/>
    <w:rsid w:val="004C1EBF"/>
    <w:rsid w:val="004C295A"/>
    <w:rsid w:val="004C2B84"/>
    <w:rsid w:val="004C2E2D"/>
    <w:rsid w:val="004C4F14"/>
    <w:rsid w:val="004C54B5"/>
    <w:rsid w:val="004C6587"/>
    <w:rsid w:val="004D324C"/>
    <w:rsid w:val="004D4548"/>
    <w:rsid w:val="004D5761"/>
    <w:rsid w:val="004D6A9F"/>
    <w:rsid w:val="004D6F58"/>
    <w:rsid w:val="004D7906"/>
    <w:rsid w:val="004E01A3"/>
    <w:rsid w:val="004E3694"/>
    <w:rsid w:val="004E4E55"/>
    <w:rsid w:val="004E79F9"/>
    <w:rsid w:val="004F07B0"/>
    <w:rsid w:val="0050008C"/>
    <w:rsid w:val="0050249F"/>
    <w:rsid w:val="00503CD5"/>
    <w:rsid w:val="005040DE"/>
    <w:rsid w:val="00507D3F"/>
    <w:rsid w:val="00517738"/>
    <w:rsid w:val="00520788"/>
    <w:rsid w:val="00521EC8"/>
    <w:rsid w:val="005220D7"/>
    <w:rsid w:val="0052246B"/>
    <w:rsid w:val="005249FD"/>
    <w:rsid w:val="00524D45"/>
    <w:rsid w:val="00525EC0"/>
    <w:rsid w:val="005278DF"/>
    <w:rsid w:val="0053111F"/>
    <w:rsid w:val="00534190"/>
    <w:rsid w:val="00534511"/>
    <w:rsid w:val="00536429"/>
    <w:rsid w:val="00537511"/>
    <w:rsid w:val="00541220"/>
    <w:rsid w:val="0054194C"/>
    <w:rsid w:val="00543248"/>
    <w:rsid w:val="00545124"/>
    <w:rsid w:val="00552D32"/>
    <w:rsid w:val="005542E8"/>
    <w:rsid w:val="005562DA"/>
    <w:rsid w:val="0055747C"/>
    <w:rsid w:val="0056084A"/>
    <w:rsid w:val="00560E86"/>
    <w:rsid w:val="00561FB0"/>
    <w:rsid w:val="005629EF"/>
    <w:rsid w:val="005659D4"/>
    <w:rsid w:val="005668B2"/>
    <w:rsid w:val="00566D48"/>
    <w:rsid w:val="00570324"/>
    <w:rsid w:val="00570629"/>
    <w:rsid w:val="00570E28"/>
    <w:rsid w:val="00574D2D"/>
    <w:rsid w:val="005766C7"/>
    <w:rsid w:val="00576C58"/>
    <w:rsid w:val="0058164B"/>
    <w:rsid w:val="0058346F"/>
    <w:rsid w:val="00584190"/>
    <w:rsid w:val="00584428"/>
    <w:rsid w:val="00584FBC"/>
    <w:rsid w:val="00585BC4"/>
    <w:rsid w:val="00586196"/>
    <w:rsid w:val="00591752"/>
    <w:rsid w:val="00593965"/>
    <w:rsid w:val="005960E2"/>
    <w:rsid w:val="005975BE"/>
    <w:rsid w:val="005A04A7"/>
    <w:rsid w:val="005A1D53"/>
    <w:rsid w:val="005A36FE"/>
    <w:rsid w:val="005A427D"/>
    <w:rsid w:val="005A56B7"/>
    <w:rsid w:val="005A5F12"/>
    <w:rsid w:val="005B3115"/>
    <w:rsid w:val="005B779D"/>
    <w:rsid w:val="005C04A7"/>
    <w:rsid w:val="005C24A5"/>
    <w:rsid w:val="005C2852"/>
    <w:rsid w:val="005C4305"/>
    <w:rsid w:val="005C54A8"/>
    <w:rsid w:val="005C57B1"/>
    <w:rsid w:val="005C77A8"/>
    <w:rsid w:val="005D0782"/>
    <w:rsid w:val="005D0CB2"/>
    <w:rsid w:val="005D0DEC"/>
    <w:rsid w:val="005D1A9A"/>
    <w:rsid w:val="005D2938"/>
    <w:rsid w:val="005D3982"/>
    <w:rsid w:val="005D3BA7"/>
    <w:rsid w:val="005D445B"/>
    <w:rsid w:val="005D49C5"/>
    <w:rsid w:val="005D5230"/>
    <w:rsid w:val="005E081D"/>
    <w:rsid w:val="005E27DA"/>
    <w:rsid w:val="005E295B"/>
    <w:rsid w:val="005E3229"/>
    <w:rsid w:val="005E7241"/>
    <w:rsid w:val="005F6BEA"/>
    <w:rsid w:val="00603514"/>
    <w:rsid w:val="006125C2"/>
    <w:rsid w:val="006157F9"/>
    <w:rsid w:val="0061615C"/>
    <w:rsid w:val="00622116"/>
    <w:rsid w:val="00622B55"/>
    <w:rsid w:val="006249D1"/>
    <w:rsid w:val="0062661B"/>
    <w:rsid w:val="00626632"/>
    <w:rsid w:val="0063067C"/>
    <w:rsid w:val="0063321E"/>
    <w:rsid w:val="006359C7"/>
    <w:rsid w:val="00635D7C"/>
    <w:rsid w:val="00635E58"/>
    <w:rsid w:val="00640651"/>
    <w:rsid w:val="006435E2"/>
    <w:rsid w:val="006437B6"/>
    <w:rsid w:val="00646153"/>
    <w:rsid w:val="00651DC2"/>
    <w:rsid w:val="00652080"/>
    <w:rsid w:val="00653CD1"/>
    <w:rsid w:val="0065420E"/>
    <w:rsid w:val="00654C23"/>
    <w:rsid w:val="0065506D"/>
    <w:rsid w:val="0065676F"/>
    <w:rsid w:val="006612A1"/>
    <w:rsid w:val="006625FE"/>
    <w:rsid w:val="006637B5"/>
    <w:rsid w:val="00663AEF"/>
    <w:rsid w:val="006644BD"/>
    <w:rsid w:val="00665561"/>
    <w:rsid w:val="006664DE"/>
    <w:rsid w:val="006718B2"/>
    <w:rsid w:val="00671C12"/>
    <w:rsid w:val="00672149"/>
    <w:rsid w:val="0067637B"/>
    <w:rsid w:val="0068061F"/>
    <w:rsid w:val="00680979"/>
    <w:rsid w:val="00681AD6"/>
    <w:rsid w:val="00683A58"/>
    <w:rsid w:val="006846B3"/>
    <w:rsid w:val="00691279"/>
    <w:rsid w:val="00691785"/>
    <w:rsid w:val="00691976"/>
    <w:rsid w:val="00693A7C"/>
    <w:rsid w:val="006961A9"/>
    <w:rsid w:val="006A2E84"/>
    <w:rsid w:val="006A4C92"/>
    <w:rsid w:val="006A5046"/>
    <w:rsid w:val="006A542B"/>
    <w:rsid w:val="006A76C8"/>
    <w:rsid w:val="006B034A"/>
    <w:rsid w:val="006B132D"/>
    <w:rsid w:val="006B2142"/>
    <w:rsid w:val="006B6DD7"/>
    <w:rsid w:val="006B7391"/>
    <w:rsid w:val="006B75E9"/>
    <w:rsid w:val="006B76CA"/>
    <w:rsid w:val="006C4871"/>
    <w:rsid w:val="006C498E"/>
    <w:rsid w:val="006C67A4"/>
    <w:rsid w:val="006C7B16"/>
    <w:rsid w:val="006D14CB"/>
    <w:rsid w:val="006D40CE"/>
    <w:rsid w:val="006D49DE"/>
    <w:rsid w:val="006D4A70"/>
    <w:rsid w:val="006D535D"/>
    <w:rsid w:val="006D6D35"/>
    <w:rsid w:val="006D6E04"/>
    <w:rsid w:val="006E01A9"/>
    <w:rsid w:val="006E0638"/>
    <w:rsid w:val="006E36E5"/>
    <w:rsid w:val="006E4211"/>
    <w:rsid w:val="006E46C3"/>
    <w:rsid w:val="006F0BEB"/>
    <w:rsid w:val="006F2B62"/>
    <w:rsid w:val="006F3C25"/>
    <w:rsid w:val="006F5E64"/>
    <w:rsid w:val="006F7458"/>
    <w:rsid w:val="0070552D"/>
    <w:rsid w:val="00706354"/>
    <w:rsid w:val="007075ED"/>
    <w:rsid w:val="00707CB1"/>
    <w:rsid w:val="007110D9"/>
    <w:rsid w:val="007119A3"/>
    <w:rsid w:val="0071319F"/>
    <w:rsid w:val="0071400B"/>
    <w:rsid w:val="007162C5"/>
    <w:rsid w:val="0071636E"/>
    <w:rsid w:val="00716668"/>
    <w:rsid w:val="007202E9"/>
    <w:rsid w:val="0072258A"/>
    <w:rsid w:val="00723BAA"/>
    <w:rsid w:val="00726857"/>
    <w:rsid w:val="00727E6B"/>
    <w:rsid w:val="007315EA"/>
    <w:rsid w:val="00742B75"/>
    <w:rsid w:val="00743265"/>
    <w:rsid w:val="00747A04"/>
    <w:rsid w:val="00752C95"/>
    <w:rsid w:val="00753702"/>
    <w:rsid w:val="007559EF"/>
    <w:rsid w:val="00756069"/>
    <w:rsid w:val="00767FC0"/>
    <w:rsid w:val="00772ADC"/>
    <w:rsid w:val="00772D27"/>
    <w:rsid w:val="007732A1"/>
    <w:rsid w:val="007745A9"/>
    <w:rsid w:val="007760DF"/>
    <w:rsid w:val="00782C1C"/>
    <w:rsid w:val="00784F56"/>
    <w:rsid w:val="0078638D"/>
    <w:rsid w:val="00786549"/>
    <w:rsid w:val="00790827"/>
    <w:rsid w:val="0079155D"/>
    <w:rsid w:val="007948EC"/>
    <w:rsid w:val="00795A87"/>
    <w:rsid w:val="00795E5A"/>
    <w:rsid w:val="00795ED7"/>
    <w:rsid w:val="00796537"/>
    <w:rsid w:val="007A11F7"/>
    <w:rsid w:val="007A1596"/>
    <w:rsid w:val="007A3258"/>
    <w:rsid w:val="007A32DE"/>
    <w:rsid w:val="007A3A32"/>
    <w:rsid w:val="007A67CC"/>
    <w:rsid w:val="007B104B"/>
    <w:rsid w:val="007B12E7"/>
    <w:rsid w:val="007B210F"/>
    <w:rsid w:val="007B3D38"/>
    <w:rsid w:val="007B42BF"/>
    <w:rsid w:val="007C1810"/>
    <w:rsid w:val="007C1E2E"/>
    <w:rsid w:val="007C1EE2"/>
    <w:rsid w:val="007C47CC"/>
    <w:rsid w:val="007C7A51"/>
    <w:rsid w:val="007D0CD8"/>
    <w:rsid w:val="007D0EDC"/>
    <w:rsid w:val="007D15B8"/>
    <w:rsid w:val="007D491D"/>
    <w:rsid w:val="007D60F5"/>
    <w:rsid w:val="007D64B2"/>
    <w:rsid w:val="007D732B"/>
    <w:rsid w:val="007E19E9"/>
    <w:rsid w:val="007E1CED"/>
    <w:rsid w:val="007E289D"/>
    <w:rsid w:val="007E2ABB"/>
    <w:rsid w:val="007E3192"/>
    <w:rsid w:val="007E3D60"/>
    <w:rsid w:val="007E3E43"/>
    <w:rsid w:val="007E6ED6"/>
    <w:rsid w:val="007E6FD8"/>
    <w:rsid w:val="007F0B98"/>
    <w:rsid w:val="007F0C07"/>
    <w:rsid w:val="007F2D3B"/>
    <w:rsid w:val="007F3FEE"/>
    <w:rsid w:val="007F40F4"/>
    <w:rsid w:val="007F4114"/>
    <w:rsid w:val="007F63F9"/>
    <w:rsid w:val="007F6FE9"/>
    <w:rsid w:val="00801D92"/>
    <w:rsid w:val="00803BEE"/>
    <w:rsid w:val="00804A90"/>
    <w:rsid w:val="00805816"/>
    <w:rsid w:val="00812076"/>
    <w:rsid w:val="008130DC"/>
    <w:rsid w:val="00813D39"/>
    <w:rsid w:val="00814322"/>
    <w:rsid w:val="00816C12"/>
    <w:rsid w:val="0081753F"/>
    <w:rsid w:val="00817BEF"/>
    <w:rsid w:val="00823EE0"/>
    <w:rsid w:val="008243DE"/>
    <w:rsid w:val="0082691E"/>
    <w:rsid w:val="00831C1E"/>
    <w:rsid w:val="0083291E"/>
    <w:rsid w:val="0083481F"/>
    <w:rsid w:val="0083521F"/>
    <w:rsid w:val="00835F29"/>
    <w:rsid w:val="008367B2"/>
    <w:rsid w:val="00836825"/>
    <w:rsid w:val="00836EE8"/>
    <w:rsid w:val="00836FBC"/>
    <w:rsid w:val="00837C7E"/>
    <w:rsid w:val="00840820"/>
    <w:rsid w:val="00840EBC"/>
    <w:rsid w:val="00843034"/>
    <w:rsid w:val="00843680"/>
    <w:rsid w:val="00844809"/>
    <w:rsid w:val="00847DE0"/>
    <w:rsid w:val="00850809"/>
    <w:rsid w:val="00852364"/>
    <w:rsid w:val="008568F2"/>
    <w:rsid w:val="00857056"/>
    <w:rsid w:val="008614DD"/>
    <w:rsid w:val="0086209F"/>
    <w:rsid w:val="008636B0"/>
    <w:rsid w:val="0086410A"/>
    <w:rsid w:val="00865CCB"/>
    <w:rsid w:val="00866D1F"/>
    <w:rsid w:val="0087064E"/>
    <w:rsid w:val="00871D32"/>
    <w:rsid w:val="008729EF"/>
    <w:rsid w:val="008766A8"/>
    <w:rsid w:val="008821FF"/>
    <w:rsid w:val="00890357"/>
    <w:rsid w:val="00892C98"/>
    <w:rsid w:val="0089378D"/>
    <w:rsid w:val="00895600"/>
    <w:rsid w:val="00895838"/>
    <w:rsid w:val="00897B04"/>
    <w:rsid w:val="008A0843"/>
    <w:rsid w:val="008A1362"/>
    <w:rsid w:val="008A2D23"/>
    <w:rsid w:val="008A45A2"/>
    <w:rsid w:val="008A5BA4"/>
    <w:rsid w:val="008B7374"/>
    <w:rsid w:val="008C080B"/>
    <w:rsid w:val="008C0C4B"/>
    <w:rsid w:val="008C180D"/>
    <w:rsid w:val="008C2064"/>
    <w:rsid w:val="008C4C16"/>
    <w:rsid w:val="008C4E31"/>
    <w:rsid w:val="008C5C5C"/>
    <w:rsid w:val="008D0A76"/>
    <w:rsid w:val="008D1578"/>
    <w:rsid w:val="008D2D65"/>
    <w:rsid w:val="008D483A"/>
    <w:rsid w:val="008D491E"/>
    <w:rsid w:val="008E1089"/>
    <w:rsid w:val="008E368F"/>
    <w:rsid w:val="008E4D3A"/>
    <w:rsid w:val="008E5A76"/>
    <w:rsid w:val="008E6B83"/>
    <w:rsid w:val="008E6F59"/>
    <w:rsid w:val="008E7336"/>
    <w:rsid w:val="008F312A"/>
    <w:rsid w:val="008F52DD"/>
    <w:rsid w:val="008F52FC"/>
    <w:rsid w:val="00900025"/>
    <w:rsid w:val="009004AC"/>
    <w:rsid w:val="00903CEF"/>
    <w:rsid w:val="009071BB"/>
    <w:rsid w:val="00907907"/>
    <w:rsid w:val="00910284"/>
    <w:rsid w:val="009119DA"/>
    <w:rsid w:val="00913461"/>
    <w:rsid w:val="00913C6F"/>
    <w:rsid w:val="0091465C"/>
    <w:rsid w:val="00916268"/>
    <w:rsid w:val="00920184"/>
    <w:rsid w:val="00920F0B"/>
    <w:rsid w:val="00922DA9"/>
    <w:rsid w:val="0092501F"/>
    <w:rsid w:val="00925933"/>
    <w:rsid w:val="00926C44"/>
    <w:rsid w:val="00930DA7"/>
    <w:rsid w:val="009322E7"/>
    <w:rsid w:val="00934CDC"/>
    <w:rsid w:val="00935FD0"/>
    <w:rsid w:val="0094085F"/>
    <w:rsid w:val="0094258A"/>
    <w:rsid w:val="0094544F"/>
    <w:rsid w:val="0094558B"/>
    <w:rsid w:val="00946FE3"/>
    <w:rsid w:val="0095254E"/>
    <w:rsid w:val="00952EDC"/>
    <w:rsid w:val="00953057"/>
    <w:rsid w:val="0095474C"/>
    <w:rsid w:val="00956745"/>
    <w:rsid w:val="0096098D"/>
    <w:rsid w:val="0096693C"/>
    <w:rsid w:val="00966CAD"/>
    <w:rsid w:val="009673C8"/>
    <w:rsid w:val="00970696"/>
    <w:rsid w:val="0097124E"/>
    <w:rsid w:val="0097168F"/>
    <w:rsid w:val="00971829"/>
    <w:rsid w:val="00976EC1"/>
    <w:rsid w:val="00984AF6"/>
    <w:rsid w:val="00987C54"/>
    <w:rsid w:val="009910CF"/>
    <w:rsid w:val="00991329"/>
    <w:rsid w:val="009929CF"/>
    <w:rsid w:val="009950D7"/>
    <w:rsid w:val="0099533A"/>
    <w:rsid w:val="00995650"/>
    <w:rsid w:val="0099623B"/>
    <w:rsid w:val="0099665F"/>
    <w:rsid w:val="009A05EC"/>
    <w:rsid w:val="009A1599"/>
    <w:rsid w:val="009A1815"/>
    <w:rsid w:val="009A1A3C"/>
    <w:rsid w:val="009A1EF5"/>
    <w:rsid w:val="009A2AB5"/>
    <w:rsid w:val="009A2C6B"/>
    <w:rsid w:val="009A60D6"/>
    <w:rsid w:val="009B0D17"/>
    <w:rsid w:val="009B2068"/>
    <w:rsid w:val="009B29A8"/>
    <w:rsid w:val="009B2AF9"/>
    <w:rsid w:val="009B70C8"/>
    <w:rsid w:val="009C00B4"/>
    <w:rsid w:val="009C0AFD"/>
    <w:rsid w:val="009C1E2C"/>
    <w:rsid w:val="009C2D6C"/>
    <w:rsid w:val="009C3229"/>
    <w:rsid w:val="009C57CD"/>
    <w:rsid w:val="009C59CE"/>
    <w:rsid w:val="009C71A4"/>
    <w:rsid w:val="009C7550"/>
    <w:rsid w:val="009D28AD"/>
    <w:rsid w:val="009D5BE3"/>
    <w:rsid w:val="009D6E2F"/>
    <w:rsid w:val="009E0F81"/>
    <w:rsid w:val="009E0FBC"/>
    <w:rsid w:val="009E23AC"/>
    <w:rsid w:val="009E3445"/>
    <w:rsid w:val="009E3ABD"/>
    <w:rsid w:val="009E554A"/>
    <w:rsid w:val="009E5882"/>
    <w:rsid w:val="009E72F7"/>
    <w:rsid w:val="009F54A4"/>
    <w:rsid w:val="009F6D38"/>
    <w:rsid w:val="009F770C"/>
    <w:rsid w:val="009F7A8B"/>
    <w:rsid w:val="009F7E11"/>
    <w:rsid w:val="00A105F7"/>
    <w:rsid w:val="00A12B44"/>
    <w:rsid w:val="00A12BD3"/>
    <w:rsid w:val="00A1536E"/>
    <w:rsid w:val="00A204C1"/>
    <w:rsid w:val="00A233DB"/>
    <w:rsid w:val="00A2408C"/>
    <w:rsid w:val="00A24C06"/>
    <w:rsid w:val="00A255AE"/>
    <w:rsid w:val="00A25E6E"/>
    <w:rsid w:val="00A30438"/>
    <w:rsid w:val="00A32CED"/>
    <w:rsid w:val="00A36B63"/>
    <w:rsid w:val="00A36E73"/>
    <w:rsid w:val="00A424DA"/>
    <w:rsid w:val="00A42569"/>
    <w:rsid w:val="00A4350E"/>
    <w:rsid w:val="00A43854"/>
    <w:rsid w:val="00A474D3"/>
    <w:rsid w:val="00A52596"/>
    <w:rsid w:val="00A54683"/>
    <w:rsid w:val="00A60225"/>
    <w:rsid w:val="00A63FE0"/>
    <w:rsid w:val="00A66160"/>
    <w:rsid w:val="00A66264"/>
    <w:rsid w:val="00A6646C"/>
    <w:rsid w:val="00A7068D"/>
    <w:rsid w:val="00A72338"/>
    <w:rsid w:val="00A72CBB"/>
    <w:rsid w:val="00A7346E"/>
    <w:rsid w:val="00A73DDD"/>
    <w:rsid w:val="00A741CB"/>
    <w:rsid w:val="00A760AA"/>
    <w:rsid w:val="00A76470"/>
    <w:rsid w:val="00A81A80"/>
    <w:rsid w:val="00A82682"/>
    <w:rsid w:val="00A82DDC"/>
    <w:rsid w:val="00A84578"/>
    <w:rsid w:val="00A85E26"/>
    <w:rsid w:val="00A86737"/>
    <w:rsid w:val="00A87EE5"/>
    <w:rsid w:val="00A90DF4"/>
    <w:rsid w:val="00A91B48"/>
    <w:rsid w:val="00A93220"/>
    <w:rsid w:val="00A944F6"/>
    <w:rsid w:val="00A956BF"/>
    <w:rsid w:val="00A96477"/>
    <w:rsid w:val="00A97E10"/>
    <w:rsid w:val="00AA4D26"/>
    <w:rsid w:val="00AA7025"/>
    <w:rsid w:val="00AA76BB"/>
    <w:rsid w:val="00AB0128"/>
    <w:rsid w:val="00AB128E"/>
    <w:rsid w:val="00AB3777"/>
    <w:rsid w:val="00AB3D02"/>
    <w:rsid w:val="00AB4BA2"/>
    <w:rsid w:val="00AC080B"/>
    <w:rsid w:val="00AC165C"/>
    <w:rsid w:val="00AC174E"/>
    <w:rsid w:val="00AC18DD"/>
    <w:rsid w:val="00AC27C2"/>
    <w:rsid w:val="00AC65FC"/>
    <w:rsid w:val="00AC712A"/>
    <w:rsid w:val="00AC7389"/>
    <w:rsid w:val="00AC78D1"/>
    <w:rsid w:val="00AD0C97"/>
    <w:rsid w:val="00AD3854"/>
    <w:rsid w:val="00AD637B"/>
    <w:rsid w:val="00AD731F"/>
    <w:rsid w:val="00AD7F28"/>
    <w:rsid w:val="00AE1238"/>
    <w:rsid w:val="00AE2D78"/>
    <w:rsid w:val="00AE4F7F"/>
    <w:rsid w:val="00AF19E0"/>
    <w:rsid w:val="00AF2ACF"/>
    <w:rsid w:val="00AF2D2C"/>
    <w:rsid w:val="00AF41D1"/>
    <w:rsid w:val="00AF5D96"/>
    <w:rsid w:val="00AF7A8E"/>
    <w:rsid w:val="00B01754"/>
    <w:rsid w:val="00B025EC"/>
    <w:rsid w:val="00B02BCB"/>
    <w:rsid w:val="00B02D70"/>
    <w:rsid w:val="00B0403B"/>
    <w:rsid w:val="00B04213"/>
    <w:rsid w:val="00B06C50"/>
    <w:rsid w:val="00B12311"/>
    <w:rsid w:val="00B13376"/>
    <w:rsid w:val="00B15241"/>
    <w:rsid w:val="00B161C5"/>
    <w:rsid w:val="00B162A3"/>
    <w:rsid w:val="00B1639C"/>
    <w:rsid w:val="00B16AA9"/>
    <w:rsid w:val="00B173F1"/>
    <w:rsid w:val="00B17A9E"/>
    <w:rsid w:val="00B2156C"/>
    <w:rsid w:val="00B239C2"/>
    <w:rsid w:val="00B309E7"/>
    <w:rsid w:val="00B335B4"/>
    <w:rsid w:val="00B336C2"/>
    <w:rsid w:val="00B34C2A"/>
    <w:rsid w:val="00B367FE"/>
    <w:rsid w:val="00B371CE"/>
    <w:rsid w:val="00B4178C"/>
    <w:rsid w:val="00B41AF0"/>
    <w:rsid w:val="00B4392C"/>
    <w:rsid w:val="00B44A9B"/>
    <w:rsid w:val="00B45642"/>
    <w:rsid w:val="00B4569A"/>
    <w:rsid w:val="00B47280"/>
    <w:rsid w:val="00B5019B"/>
    <w:rsid w:val="00B50707"/>
    <w:rsid w:val="00B51440"/>
    <w:rsid w:val="00B52848"/>
    <w:rsid w:val="00B52C2E"/>
    <w:rsid w:val="00B55E78"/>
    <w:rsid w:val="00B60143"/>
    <w:rsid w:val="00B60DD6"/>
    <w:rsid w:val="00B63878"/>
    <w:rsid w:val="00B63B8D"/>
    <w:rsid w:val="00B65645"/>
    <w:rsid w:val="00B66E34"/>
    <w:rsid w:val="00B745A3"/>
    <w:rsid w:val="00B755A7"/>
    <w:rsid w:val="00B7645A"/>
    <w:rsid w:val="00B76CBD"/>
    <w:rsid w:val="00B77404"/>
    <w:rsid w:val="00B77B18"/>
    <w:rsid w:val="00B80910"/>
    <w:rsid w:val="00B8270A"/>
    <w:rsid w:val="00B83687"/>
    <w:rsid w:val="00B84E0F"/>
    <w:rsid w:val="00B85922"/>
    <w:rsid w:val="00B9103D"/>
    <w:rsid w:val="00B914D9"/>
    <w:rsid w:val="00B94CCA"/>
    <w:rsid w:val="00B958A8"/>
    <w:rsid w:val="00B95C23"/>
    <w:rsid w:val="00B964A7"/>
    <w:rsid w:val="00B9660C"/>
    <w:rsid w:val="00B97C4F"/>
    <w:rsid w:val="00BA3F46"/>
    <w:rsid w:val="00BA4CF4"/>
    <w:rsid w:val="00BA6A81"/>
    <w:rsid w:val="00BB00A0"/>
    <w:rsid w:val="00BB0F41"/>
    <w:rsid w:val="00BB2FFF"/>
    <w:rsid w:val="00BB4CDA"/>
    <w:rsid w:val="00BB6722"/>
    <w:rsid w:val="00BC0563"/>
    <w:rsid w:val="00BC186B"/>
    <w:rsid w:val="00BC18BE"/>
    <w:rsid w:val="00BC41A0"/>
    <w:rsid w:val="00BC55AE"/>
    <w:rsid w:val="00BC5688"/>
    <w:rsid w:val="00BC655A"/>
    <w:rsid w:val="00BD0253"/>
    <w:rsid w:val="00BD18E2"/>
    <w:rsid w:val="00BD6544"/>
    <w:rsid w:val="00BD66BC"/>
    <w:rsid w:val="00BD6A32"/>
    <w:rsid w:val="00BD7B0F"/>
    <w:rsid w:val="00BE03AB"/>
    <w:rsid w:val="00BE173F"/>
    <w:rsid w:val="00BE22A3"/>
    <w:rsid w:val="00BE2567"/>
    <w:rsid w:val="00BE2629"/>
    <w:rsid w:val="00BE2B7A"/>
    <w:rsid w:val="00BE62B7"/>
    <w:rsid w:val="00BF05B7"/>
    <w:rsid w:val="00BF11E9"/>
    <w:rsid w:val="00BF1893"/>
    <w:rsid w:val="00C0112A"/>
    <w:rsid w:val="00C02E06"/>
    <w:rsid w:val="00C06D26"/>
    <w:rsid w:val="00C07812"/>
    <w:rsid w:val="00C0795D"/>
    <w:rsid w:val="00C15A57"/>
    <w:rsid w:val="00C230E4"/>
    <w:rsid w:val="00C3402E"/>
    <w:rsid w:val="00C35232"/>
    <w:rsid w:val="00C35434"/>
    <w:rsid w:val="00C372C6"/>
    <w:rsid w:val="00C40959"/>
    <w:rsid w:val="00C4161B"/>
    <w:rsid w:val="00C41A83"/>
    <w:rsid w:val="00C42BA6"/>
    <w:rsid w:val="00C43160"/>
    <w:rsid w:val="00C4494D"/>
    <w:rsid w:val="00C475CF"/>
    <w:rsid w:val="00C47DDB"/>
    <w:rsid w:val="00C52077"/>
    <w:rsid w:val="00C53C26"/>
    <w:rsid w:val="00C5436E"/>
    <w:rsid w:val="00C54FB2"/>
    <w:rsid w:val="00C5534E"/>
    <w:rsid w:val="00C55521"/>
    <w:rsid w:val="00C56EDE"/>
    <w:rsid w:val="00C57949"/>
    <w:rsid w:val="00C57D8F"/>
    <w:rsid w:val="00C57E0D"/>
    <w:rsid w:val="00C74AA6"/>
    <w:rsid w:val="00C76E9A"/>
    <w:rsid w:val="00C809E0"/>
    <w:rsid w:val="00C80AB6"/>
    <w:rsid w:val="00C82899"/>
    <w:rsid w:val="00C83723"/>
    <w:rsid w:val="00C8509B"/>
    <w:rsid w:val="00C85E6C"/>
    <w:rsid w:val="00C8679C"/>
    <w:rsid w:val="00C86CC3"/>
    <w:rsid w:val="00C9307D"/>
    <w:rsid w:val="00C933E2"/>
    <w:rsid w:val="00C96B53"/>
    <w:rsid w:val="00C97B4A"/>
    <w:rsid w:val="00CA09F7"/>
    <w:rsid w:val="00CA628E"/>
    <w:rsid w:val="00CA7D76"/>
    <w:rsid w:val="00CB2184"/>
    <w:rsid w:val="00CB3181"/>
    <w:rsid w:val="00CB5738"/>
    <w:rsid w:val="00CB579F"/>
    <w:rsid w:val="00CB5A80"/>
    <w:rsid w:val="00CB68B7"/>
    <w:rsid w:val="00CC09D6"/>
    <w:rsid w:val="00CC3B9B"/>
    <w:rsid w:val="00CC5453"/>
    <w:rsid w:val="00CC6706"/>
    <w:rsid w:val="00CC6E8C"/>
    <w:rsid w:val="00CC6F9D"/>
    <w:rsid w:val="00CC7DD9"/>
    <w:rsid w:val="00CD04C0"/>
    <w:rsid w:val="00CD1B0A"/>
    <w:rsid w:val="00CD5CA3"/>
    <w:rsid w:val="00CD6EE6"/>
    <w:rsid w:val="00CE0D6A"/>
    <w:rsid w:val="00CE17CD"/>
    <w:rsid w:val="00CE2339"/>
    <w:rsid w:val="00CF0475"/>
    <w:rsid w:val="00CF081D"/>
    <w:rsid w:val="00CF28A9"/>
    <w:rsid w:val="00CF2E02"/>
    <w:rsid w:val="00CF4283"/>
    <w:rsid w:val="00CF4E2C"/>
    <w:rsid w:val="00D0135B"/>
    <w:rsid w:val="00D026BE"/>
    <w:rsid w:val="00D03D49"/>
    <w:rsid w:val="00D04DE4"/>
    <w:rsid w:val="00D06574"/>
    <w:rsid w:val="00D068D0"/>
    <w:rsid w:val="00D070BD"/>
    <w:rsid w:val="00D14192"/>
    <w:rsid w:val="00D15523"/>
    <w:rsid w:val="00D20498"/>
    <w:rsid w:val="00D20B07"/>
    <w:rsid w:val="00D235B7"/>
    <w:rsid w:val="00D2729B"/>
    <w:rsid w:val="00D2746D"/>
    <w:rsid w:val="00D31B6B"/>
    <w:rsid w:val="00D321A2"/>
    <w:rsid w:val="00D33309"/>
    <w:rsid w:val="00D3334B"/>
    <w:rsid w:val="00D33567"/>
    <w:rsid w:val="00D34E91"/>
    <w:rsid w:val="00D35B9C"/>
    <w:rsid w:val="00D36DC8"/>
    <w:rsid w:val="00D373D9"/>
    <w:rsid w:val="00D4029B"/>
    <w:rsid w:val="00D4089F"/>
    <w:rsid w:val="00D40C22"/>
    <w:rsid w:val="00D41456"/>
    <w:rsid w:val="00D4396D"/>
    <w:rsid w:val="00D44E7E"/>
    <w:rsid w:val="00D450BA"/>
    <w:rsid w:val="00D47396"/>
    <w:rsid w:val="00D533A5"/>
    <w:rsid w:val="00D533D1"/>
    <w:rsid w:val="00D53ADC"/>
    <w:rsid w:val="00D54208"/>
    <w:rsid w:val="00D54A3E"/>
    <w:rsid w:val="00D55B03"/>
    <w:rsid w:val="00D6050D"/>
    <w:rsid w:val="00D60E27"/>
    <w:rsid w:val="00D60EA4"/>
    <w:rsid w:val="00D63186"/>
    <w:rsid w:val="00D63CA3"/>
    <w:rsid w:val="00D644E7"/>
    <w:rsid w:val="00D64A6F"/>
    <w:rsid w:val="00D65201"/>
    <w:rsid w:val="00D652E4"/>
    <w:rsid w:val="00D66E36"/>
    <w:rsid w:val="00D7048D"/>
    <w:rsid w:val="00D70860"/>
    <w:rsid w:val="00D729EC"/>
    <w:rsid w:val="00D72F0F"/>
    <w:rsid w:val="00D7390C"/>
    <w:rsid w:val="00D7545B"/>
    <w:rsid w:val="00D757C9"/>
    <w:rsid w:val="00D816E4"/>
    <w:rsid w:val="00D83DC7"/>
    <w:rsid w:val="00D83FFF"/>
    <w:rsid w:val="00D8620F"/>
    <w:rsid w:val="00D868F6"/>
    <w:rsid w:val="00D86DAF"/>
    <w:rsid w:val="00D86E56"/>
    <w:rsid w:val="00D96BC6"/>
    <w:rsid w:val="00D97905"/>
    <w:rsid w:val="00DA16AB"/>
    <w:rsid w:val="00DA215A"/>
    <w:rsid w:val="00DA3744"/>
    <w:rsid w:val="00DA5578"/>
    <w:rsid w:val="00DA7E23"/>
    <w:rsid w:val="00DB0BB6"/>
    <w:rsid w:val="00DB13C6"/>
    <w:rsid w:val="00DB1951"/>
    <w:rsid w:val="00DB38B1"/>
    <w:rsid w:val="00DB537D"/>
    <w:rsid w:val="00DB75ED"/>
    <w:rsid w:val="00DC025B"/>
    <w:rsid w:val="00DC34F6"/>
    <w:rsid w:val="00DC43A4"/>
    <w:rsid w:val="00DC7437"/>
    <w:rsid w:val="00DD04ED"/>
    <w:rsid w:val="00DD0FB2"/>
    <w:rsid w:val="00DD3BD5"/>
    <w:rsid w:val="00DD54C4"/>
    <w:rsid w:val="00DD7BBE"/>
    <w:rsid w:val="00DE0064"/>
    <w:rsid w:val="00DE07F1"/>
    <w:rsid w:val="00DE1790"/>
    <w:rsid w:val="00DE60D1"/>
    <w:rsid w:val="00DF28EF"/>
    <w:rsid w:val="00DF3743"/>
    <w:rsid w:val="00DF5F6B"/>
    <w:rsid w:val="00DF6FFE"/>
    <w:rsid w:val="00DF7316"/>
    <w:rsid w:val="00E03229"/>
    <w:rsid w:val="00E11AE6"/>
    <w:rsid w:val="00E11B81"/>
    <w:rsid w:val="00E13244"/>
    <w:rsid w:val="00E136E8"/>
    <w:rsid w:val="00E13D92"/>
    <w:rsid w:val="00E17AB9"/>
    <w:rsid w:val="00E2206C"/>
    <w:rsid w:val="00E22742"/>
    <w:rsid w:val="00E23324"/>
    <w:rsid w:val="00E260E7"/>
    <w:rsid w:val="00E271D9"/>
    <w:rsid w:val="00E30C03"/>
    <w:rsid w:val="00E3381D"/>
    <w:rsid w:val="00E35A2A"/>
    <w:rsid w:val="00E35BD5"/>
    <w:rsid w:val="00E3734B"/>
    <w:rsid w:val="00E375A6"/>
    <w:rsid w:val="00E42097"/>
    <w:rsid w:val="00E45BCE"/>
    <w:rsid w:val="00E4613A"/>
    <w:rsid w:val="00E47D79"/>
    <w:rsid w:val="00E50F62"/>
    <w:rsid w:val="00E52CEF"/>
    <w:rsid w:val="00E55587"/>
    <w:rsid w:val="00E61470"/>
    <w:rsid w:val="00E6182D"/>
    <w:rsid w:val="00E62FDA"/>
    <w:rsid w:val="00E640E3"/>
    <w:rsid w:val="00E651FE"/>
    <w:rsid w:val="00E67EDB"/>
    <w:rsid w:val="00E67F6E"/>
    <w:rsid w:val="00E70485"/>
    <w:rsid w:val="00E725BB"/>
    <w:rsid w:val="00E75009"/>
    <w:rsid w:val="00E77CFC"/>
    <w:rsid w:val="00E807D2"/>
    <w:rsid w:val="00E85A32"/>
    <w:rsid w:val="00E85C19"/>
    <w:rsid w:val="00E86BC5"/>
    <w:rsid w:val="00E90763"/>
    <w:rsid w:val="00E9328E"/>
    <w:rsid w:val="00E939CA"/>
    <w:rsid w:val="00E9567B"/>
    <w:rsid w:val="00E95D83"/>
    <w:rsid w:val="00E97103"/>
    <w:rsid w:val="00E9731D"/>
    <w:rsid w:val="00EA2307"/>
    <w:rsid w:val="00EA474B"/>
    <w:rsid w:val="00EA55D8"/>
    <w:rsid w:val="00EA7AA1"/>
    <w:rsid w:val="00EB0EC3"/>
    <w:rsid w:val="00EB11BB"/>
    <w:rsid w:val="00EB1A07"/>
    <w:rsid w:val="00EB467E"/>
    <w:rsid w:val="00EB46B4"/>
    <w:rsid w:val="00EC12D7"/>
    <w:rsid w:val="00EC23CF"/>
    <w:rsid w:val="00EC2550"/>
    <w:rsid w:val="00EC3133"/>
    <w:rsid w:val="00EC3EAB"/>
    <w:rsid w:val="00EC674E"/>
    <w:rsid w:val="00EC6C02"/>
    <w:rsid w:val="00EC7A1A"/>
    <w:rsid w:val="00ED0B97"/>
    <w:rsid w:val="00EE161D"/>
    <w:rsid w:val="00EE2388"/>
    <w:rsid w:val="00EE30AF"/>
    <w:rsid w:val="00EE33B9"/>
    <w:rsid w:val="00EE6275"/>
    <w:rsid w:val="00EE65D6"/>
    <w:rsid w:val="00EF3940"/>
    <w:rsid w:val="00EF3C02"/>
    <w:rsid w:val="00EF416E"/>
    <w:rsid w:val="00EF4300"/>
    <w:rsid w:val="00EF458E"/>
    <w:rsid w:val="00EF4DCC"/>
    <w:rsid w:val="00F0063E"/>
    <w:rsid w:val="00F02172"/>
    <w:rsid w:val="00F024DE"/>
    <w:rsid w:val="00F05E22"/>
    <w:rsid w:val="00F0697F"/>
    <w:rsid w:val="00F06FBD"/>
    <w:rsid w:val="00F12B58"/>
    <w:rsid w:val="00F12FA1"/>
    <w:rsid w:val="00F20821"/>
    <w:rsid w:val="00F229FE"/>
    <w:rsid w:val="00F22B6F"/>
    <w:rsid w:val="00F232FB"/>
    <w:rsid w:val="00F234B0"/>
    <w:rsid w:val="00F23573"/>
    <w:rsid w:val="00F2359F"/>
    <w:rsid w:val="00F239D5"/>
    <w:rsid w:val="00F2484A"/>
    <w:rsid w:val="00F26E38"/>
    <w:rsid w:val="00F31287"/>
    <w:rsid w:val="00F33C54"/>
    <w:rsid w:val="00F34562"/>
    <w:rsid w:val="00F37E41"/>
    <w:rsid w:val="00F40834"/>
    <w:rsid w:val="00F41883"/>
    <w:rsid w:val="00F43C2A"/>
    <w:rsid w:val="00F43C4D"/>
    <w:rsid w:val="00F4626E"/>
    <w:rsid w:val="00F46F36"/>
    <w:rsid w:val="00F47896"/>
    <w:rsid w:val="00F50DCE"/>
    <w:rsid w:val="00F5261D"/>
    <w:rsid w:val="00F609BC"/>
    <w:rsid w:val="00F61E78"/>
    <w:rsid w:val="00F64391"/>
    <w:rsid w:val="00F6731D"/>
    <w:rsid w:val="00F704E9"/>
    <w:rsid w:val="00F709C9"/>
    <w:rsid w:val="00F70B90"/>
    <w:rsid w:val="00F726BB"/>
    <w:rsid w:val="00F77110"/>
    <w:rsid w:val="00F8135D"/>
    <w:rsid w:val="00F81F0D"/>
    <w:rsid w:val="00F829B5"/>
    <w:rsid w:val="00F85120"/>
    <w:rsid w:val="00F871AC"/>
    <w:rsid w:val="00F8749D"/>
    <w:rsid w:val="00F87612"/>
    <w:rsid w:val="00F900D8"/>
    <w:rsid w:val="00F91B40"/>
    <w:rsid w:val="00F91C43"/>
    <w:rsid w:val="00F92316"/>
    <w:rsid w:val="00F926AF"/>
    <w:rsid w:val="00F94959"/>
    <w:rsid w:val="00F96148"/>
    <w:rsid w:val="00F961CC"/>
    <w:rsid w:val="00F9719E"/>
    <w:rsid w:val="00FA1B9F"/>
    <w:rsid w:val="00FA22AD"/>
    <w:rsid w:val="00FA23B3"/>
    <w:rsid w:val="00FA39BC"/>
    <w:rsid w:val="00FA4BD0"/>
    <w:rsid w:val="00FA76DC"/>
    <w:rsid w:val="00FB023C"/>
    <w:rsid w:val="00FB323C"/>
    <w:rsid w:val="00FB378F"/>
    <w:rsid w:val="00FB42A9"/>
    <w:rsid w:val="00FB4905"/>
    <w:rsid w:val="00FB54BF"/>
    <w:rsid w:val="00FC4405"/>
    <w:rsid w:val="00FC4B09"/>
    <w:rsid w:val="00FC4DCF"/>
    <w:rsid w:val="00FC6AF3"/>
    <w:rsid w:val="00FD0BBD"/>
    <w:rsid w:val="00FD0C74"/>
    <w:rsid w:val="00FD17CD"/>
    <w:rsid w:val="00FD3F59"/>
    <w:rsid w:val="00FD458A"/>
    <w:rsid w:val="00FD4B6A"/>
    <w:rsid w:val="00FD58C2"/>
    <w:rsid w:val="00FD5F0F"/>
    <w:rsid w:val="00FD6BA4"/>
    <w:rsid w:val="00FE0111"/>
    <w:rsid w:val="00FE14C2"/>
    <w:rsid w:val="00FE1E4F"/>
    <w:rsid w:val="00FE29AD"/>
    <w:rsid w:val="00FE51AF"/>
    <w:rsid w:val="00FE6A57"/>
    <w:rsid w:val="00FE76BC"/>
    <w:rsid w:val="00FF0341"/>
    <w:rsid w:val="00FF0F1C"/>
    <w:rsid w:val="00FF1769"/>
    <w:rsid w:val="00FF1E7E"/>
    <w:rsid w:val="00FF21A6"/>
    <w:rsid w:val="00FF649A"/>
    <w:rsid w:val="00FF7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441D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CFC"/>
    <w:rPr>
      <w:color w:val="0000FF" w:themeColor="hyperlink"/>
      <w:u w:val="single"/>
    </w:rPr>
  </w:style>
  <w:style w:type="paragraph" w:styleId="FootnoteText">
    <w:name w:val="footnote text"/>
    <w:basedOn w:val="Normal"/>
    <w:link w:val="FootnoteTextChar"/>
    <w:uiPriority w:val="99"/>
    <w:rsid w:val="00262CFC"/>
    <w:rPr>
      <w:color w:val="auto"/>
      <w:sz w:val="20"/>
    </w:rPr>
  </w:style>
  <w:style w:type="character" w:customStyle="1" w:styleId="FootnoteTextChar">
    <w:name w:val="Footnote Text Char"/>
    <w:basedOn w:val="DefaultParagraphFont"/>
    <w:link w:val="FootnoteText"/>
    <w:uiPriority w:val="99"/>
    <w:rsid w:val="00262CFC"/>
    <w:rPr>
      <w:rFonts w:eastAsia="Times New Roman"/>
      <w:color w:val="auto"/>
      <w:sz w:val="20"/>
      <w:lang w:eastAsia="en-US"/>
    </w:rPr>
  </w:style>
  <w:style w:type="character" w:styleId="FootnoteReference">
    <w:name w:val="footnote reference"/>
    <w:uiPriority w:val="99"/>
    <w:rsid w:val="00262CFC"/>
    <w:rPr>
      <w:vertAlign w:val="superscript"/>
    </w:rPr>
  </w:style>
  <w:style w:type="table" w:styleId="TableGrid">
    <w:name w:val="Table Grid"/>
    <w:basedOn w:val="TableNormal"/>
    <w:uiPriority w:val="59"/>
    <w:rsid w:val="00262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262CFC"/>
  </w:style>
  <w:style w:type="character" w:customStyle="1" w:styleId="CommentTextChar">
    <w:name w:val="Comment Text Char"/>
    <w:basedOn w:val="DefaultParagraphFont"/>
    <w:link w:val="CommentText"/>
    <w:uiPriority w:val="99"/>
    <w:rsid w:val="00262CFC"/>
    <w:rPr>
      <w:rFonts w:eastAsia="Times New Roman"/>
      <w:lang w:eastAsia="en-US"/>
    </w:rPr>
  </w:style>
  <w:style w:type="paragraph" w:styleId="Header">
    <w:name w:val="header"/>
    <w:basedOn w:val="Normal"/>
    <w:link w:val="HeaderChar"/>
    <w:uiPriority w:val="99"/>
    <w:unhideWhenUsed/>
    <w:rsid w:val="00262CFC"/>
    <w:pPr>
      <w:tabs>
        <w:tab w:val="center" w:pos="4320"/>
        <w:tab w:val="right" w:pos="8640"/>
      </w:tabs>
    </w:pPr>
  </w:style>
  <w:style w:type="character" w:customStyle="1" w:styleId="HeaderChar">
    <w:name w:val="Header Char"/>
    <w:basedOn w:val="DefaultParagraphFont"/>
    <w:link w:val="Header"/>
    <w:uiPriority w:val="99"/>
    <w:rsid w:val="00262CFC"/>
    <w:rPr>
      <w:rFonts w:eastAsia="Times New Roman"/>
      <w:lang w:eastAsia="en-US"/>
    </w:rPr>
  </w:style>
  <w:style w:type="paragraph" w:styleId="Footer">
    <w:name w:val="footer"/>
    <w:basedOn w:val="Normal"/>
    <w:link w:val="FooterChar"/>
    <w:uiPriority w:val="99"/>
    <w:unhideWhenUsed/>
    <w:rsid w:val="00262CFC"/>
    <w:pPr>
      <w:tabs>
        <w:tab w:val="center" w:pos="4320"/>
        <w:tab w:val="right" w:pos="8640"/>
      </w:tabs>
    </w:pPr>
  </w:style>
  <w:style w:type="character" w:customStyle="1" w:styleId="FooterChar">
    <w:name w:val="Footer Char"/>
    <w:basedOn w:val="DefaultParagraphFont"/>
    <w:link w:val="Footer"/>
    <w:uiPriority w:val="99"/>
    <w:rsid w:val="00262CFC"/>
    <w:rPr>
      <w:rFonts w:eastAsia="Times New Roman"/>
      <w:lang w:eastAsia="en-US"/>
    </w:rPr>
  </w:style>
  <w:style w:type="character" w:styleId="PageNumber">
    <w:name w:val="page number"/>
    <w:basedOn w:val="DefaultParagraphFont"/>
    <w:uiPriority w:val="99"/>
    <w:semiHidden/>
    <w:unhideWhenUsed/>
    <w:rsid w:val="007C47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CFC"/>
    <w:rPr>
      <w:color w:val="0000FF" w:themeColor="hyperlink"/>
      <w:u w:val="single"/>
    </w:rPr>
  </w:style>
  <w:style w:type="paragraph" w:styleId="FootnoteText">
    <w:name w:val="footnote text"/>
    <w:basedOn w:val="Normal"/>
    <w:link w:val="FootnoteTextChar"/>
    <w:uiPriority w:val="99"/>
    <w:rsid w:val="00262CFC"/>
    <w:rPr>
      <w:color w:val="auto"/>
      <w:sz w:val="20"/>
    </w:rPr>
  </w:style>
  <w:style w:type="character" w:customStyle="1" w:styleId="FootnoteTextChar">
    <w:name w:val="Footnote Text Char"/>
    <w:basedOn w:val="DefaultParagraphFont"/>
    <w:link w:val="FootnoteText"/>
    <w:uiPriority w:val="99"/>
    <w:rsid w:val="00262CFC"/>
    <w:rPr>
      <w:rFonts w:eastAsia="Times New Roman"/>
      <w:color w:val="auto"/>
      <w:sz w:val="20"/>
      <w:lang w:eastAsia="en-US"/>
    </w:rPr>
  </w:style>
  <w:style w:type="character" w:styleId="FootnoteReference">
    <w:name w:val="footnote reference"/>
    <w:uiPriority w:val="99"/>
    <w:rsid w:val="00262CFC"/>
    <w:rPr>
      <w:vertAlign w:val="superscript"/>
    </w:rPr>
  </w:style>
  <w:style w:type="table" w:styleId="TableGrid">
    <w:name w:val="Table Grid"/>
    <w:basedOn w:val="TableNormal"/>
    <w:uiPriority w:val="59"/>
    <w:rsid w:val="00262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262CFC"/>
  </w:style>
  <w:style w:type="character" w:customStyle="1" w:styleId="CommentTextChar">
    <w:name w:val="Comment Text Char"/>
    <w:basedOn w:val="DefaultParagraphFont"/>
    <w:link w:val="CommentText"/>
    <w:uiPriority w:val="99"/>
    <w:rsid w:val="00262CFC"/>
    <w:rPr>
      <w:rFonts w:eastAsia="Times New Roman"/>
      <w:lang w:eastAsia="en-US"/>
    </w:rPr>
  </w:style>
  <w:style w:type="paragraph" w:styleId="Header">
    <w:name w:val="header"/>
    <w:basedOn w:val="Normal"/>
    <w:link w:val="HeaderChar"/>
    <w:uiPriority w:val="99"/>
    <w:unhideWhenUsed/>
    <w:rsid w:val="00262CFC"/>
    <w:pPr>
      <w:tabs>
        <w:tab w:val="center" w:pos="4320"/>
        <w:tab w:val="right" w:pos="8640"/>
      </w:tabs>
    </w:pPr>
  </w:style>
  <w:style w:type="character" w:customStyle="1" w:styleId="HeaderChar">
    <w:name w:val="Header Char"/>
    <w:basedOn w:val="DefaultParagraphFont"/>
    <w:link w:val="Header"/>
    <w:uiPriority w:val="99"/>
    <w:rsid w:val="00262CFC"/>
    <w:rPr>
      <w:rFonts w:eastAsia="Times New Roman"/>
      <w:lang w:eastAsia="en-US"/>
    </w:rPr>
  </w:style>
  <w:style w:type="paragraph" w:styleId="Footer">
    <w:name w:val="footer"/>
    <w:basedOn w:val="Normal"/>
    <w:link w:val="FooterChar"/>
    <w:uiPriority w:val="99"/>
    <w:unhideWhenUsed/>
    <w:rsid w:val="00262CFC"/>
    <w:pPr>
      <w:tabs>
        <w:tab w:val="center" w:pos="4320"/>
        <w:tab w:val="right" w:pos="8640"/>
      </w:tabs>
    </w:pPr>
  </w:style>
  <w:style w:type="character" w:customStyle="1" w:styleId="FooterChar">
    <w:name w:val="Footer Char"/>
    <w:basedOn w:val="DefaultParagraphFont"/>
    <w:link w:val="Footer"/>
    <w:uiPriority w:val="99"/>
    <w:rsid w:val="00262CFC"/>
    <w:rPr>
      <w:rFonts w:eastAsia="Times New Roman"/>
      <w:lang w:eastAsia="en-US"/>
    </w:rPr>
  </w:style>
  <w:style w:type="character" w:styleId="PageNumber">
    <w:name w:val="page number"/>
    <w:basedOn w:val="DefaultParagraphFont"/>
    <w:uiPriority w:val="99"/>
    <w:semiHidden/>
    <w:unhideWhenUsed/>
    <w:rsid w:val="007C4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www.middleweb.com/36699/shared-reading-needs-to-have-a-clear-purp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1507</Words>
  <Characters>8590</Characters>
  <Application>Microsoft Macintosh Word</Application>
  <DocSecurity>0</DocSecurity>
  <Lines>71</Lines>
  <Paragraphs>20</Paragraphs>
  <ScaleCrop>false</ScaleCrop>
  <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Tantillo</dc:creator>
  <cp:keywords/>
  <dc:description/>
  <cp:lastModifiedBy>Sarah Tantillo</cp:lastModifiedBy>
  <cp:revision>2</cp:revision>
  <dcterms:created xsi:type="dcterms:W3CDTF">2018-01-09T22:25:00Z</dcterms:created>
  <dcterms:modified xsi:type="dcterms:W3CDTF">2018-03-28T13:50:00Z</dcterms:modified>
</cp:coreProperties>
</file>